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Times New Roman" w:cs="Times New Roman" w:eastAsia="Times New Roman" w:hAnsi="Times New Roman"/>
          <w:b/>
          <w:bCs/>
          <w:sz w:val="24"/>
          <w:szCs w:val="24"/>
          <w:u w:val="single"/>
        </w:rPr>
        <w:t xml:space="preserve">INSTRUMENTO PARTICULAR DE CONSTITUIÇÃO DE SOCIEDADE EMPRESÁRIA LIMITADA</w:t>
      </w:r>
    </w:p>
    <w:p>
      <w:pPr>
        <w:spacing w:after="80" w:before="80"/>
        <w:ind w:firstLine="720"/>
        <w:jc w:val="both"/>
      </w:pPr>
      <w:r>
        <w:rPr>
          <w:rFonts w:ascii="Times New Roman" w:cs="Times New Roman" w:eastAsia="Times New Roman" w:hAnsi="Times New Roman"/>
          <w:sz w:val="24"/>
          <w:szCs w:val="24"/>
        </w:rPr>
        <w:t xml:space="preserve">Pelo presente instrumento particular, as partes abaixo nomeadas e qualificadas resolvem constituir uma sociedade empresária do tipo Limitada, tudo de conformidade com as cláusulas e estipulações a seguir, às quais mutuamente outorgam, pactuam e aceitam, obrigando-se a cumpri-las por si e por seus herdeiros e sucessores a qualquer título:</w:t>
      </w:r>
    </w:p>
    <w:p>
      <w:pPr>
        <w:spacing w:after="100" w:before="100"/>
      </w:pPr>
    </w:p>
    <w:p>
      <w:pPr>
        <w:spacing w:after="80" w:before="80"/>
        <w:jc w:val="both"/>
      </w:pPr>
      <w:r>
        <w:rPr>
          <w:rFonts w:ascii="Times New Roman" w:cs="Times New Roman" w:eastAsia="Times New Roman" w:hAnsi="Times New Roman"/>
          <w:b/>
          <w:bCs/>
          <w:sz w:val="24"/>
          <w:szCs w:val="24"/>
        </w:rPr>
        <w:t xml:space="preserve">SÓCIA 1:</w:t>
      </w:r>
      <w:r>
        <w:rPr>
          <w:rFonts w:ascii="Times New Roman" w:cs="Times New Roman" w:eastAsia="Times New Roman" w:hAnsi="Times New Roman"/>
          <w:sz w:val="24"/>
          <w:szCs w:val="24"/>
        </w:rPr>
        <w:t xml:space="preserve"> Thayná Batista da Silva, brasileira, solteira, estudante, portadora do RG n.º 7.432.891-4 SSP/PE, inscrita no CPF/MF sob o n.º 123.456.789-09, residente e domiciliada à Rua das Flores, n.º 215, Bairro Boa Viagem, Cidade do Recife, Estado de Pernambuco, CEP: 51.020-010.</w:t>
      </w:r>
    </w:p>
    <w:p>
      <w:pPr>
        <w:spacing w:after="80" w:before="80"/>
        <w:jc w:val="both"/>
      </w:pPr>
      <w:r>
        <w:rPr>
          <w:rFonts w:ascii="Times New Roman" w:cs="Times New Roman" w:eastAsia="Times New Roman" w:hAnsi="Times New Roman"/>
          <w:b/>
          <w:bCs/>
          <w:sz w:val="24"/>
          <w:szCs w:val="24"/>
        </w:rPr>
        <w:t xml:space="preserve">SÓCIA 2:</w:t>
      </w:r>
      <w:r>
        <w:rPr>
          <w:rFonts w:ascii="Times New Roman" w:cs="Times New Roman" w:eastAsia="Times New Roman" w:hAnsi="Times New Roman"/>
          <w:sz w:val="24"/>
          <w:szCs w:val="24"/>
        </w:rPr>
        <w:t xml:space="preserve"> Poliana Fontes, brasileira, solteira, estudante, portadora do RG n.º 8.519.362-7 SSP/PE, inscrita no CPF/MF sob o n.º 987.654.321-00, residente e domiciliada à Rua do Sol Nascente, n.º 88, Bairro Casa Amarela, Cidade do Recife, Estado de Pernambuco, CEP: 52.070-230.</w:t>
      </w:r>
    </w:p>
    <w:p>
      <w:pPr>
        <w:spacing w:after="100" w:before="100"/>
      </w:pPr>
    </w:p>
    <w:p>
      <w:pPr>
        <w:spacing w:after="100" w:before="200"/>
      </w:pPr>
      <w:r>
        <w:rPr>
          <w:rFonts w:ascii="Times New Roman" w:cs="Times New Roman" w:eastAsia="Times New Roman" w:hAnsi="Times New Roman"/>
          <w:b/>
          <w:bCs/>
          <w:sz w:val="24"/>
          <w:szCs w:val="24"/>
        </w:rPr>
        <w:t xml:space="preserve">CLÁUSULA PRIMEIRA – DO NOME EMPRESARIAL, DA SEDE E DAS FILIAIS</w:t>
      </w:r>
    </w:p>
    <w:p>
      <w:pPr>
        <w:spacing w:after="80" w:before="80"/>
        <w:ind w:firstLine="720"/>
        <w:jc w:val="both"/>
      </w:pPr>
      <w:r>
        <w:rPr>
          <w:rFonts w:ascii="Times New Roman" w:cs="Times New Roman" w:eastAsia="Times New Roman" w:hAnsi="Times New Roman"/>
          <w:sz w:val="24"/>
          <w:szCs w:val="24"/>
        </w:rPr>
        <w:t xml:space="preserve">A sociedade gira sob o nome empresarial TP SOLUÇÕES DIGITAIS LTDA e nome fantasia ThayPoly – TP.</w:t>
      </w:r>
    </w:p>
    <w:p>
      <w:pPr>
        <w:spacing w:after="80" w:before="80"/>
        <w:ind w:firstLine="720"/>
        <w:jc w:val="both"/>
      </w:pPr>
      <w:r>
        <w:rPr>
          <w:rFonts w:ascii="Times New Roman" w:cs="Times New Roman" w:eastAsia="Times New Roman" w:hAnsi="Times New Roman"/>
          <w:sz w:val="24"/>
          <w:szCs w:val="24"/>
        </w:rPr>
        <w:t xml:space="preserve">A sociedade tem sua sede social situada à Rua da Tecnologia, n.º 109, Bairro do Recife, Recife – PE, CEP 50.000-000.</w:t>
      </w:r>
    </w:p>
    <w:p>
      <w:pPr>
        <w:spacing w:after="80" w:before="80"/>
        <w:ind w:firstLine="720"/>
        <w:jc w:val="both"/>
      </w:pPr>
      <w:r>
        <w:rPr>
          <w:rFonts w:ascii="Times New Roman" w:cs="Times New Roman" w:eastAsia="Times New Roman" w:hAnsi="Times New Roman"/>
          <w:sz w:val="24"/>
          <w:szCs w:val="24"/>
        </w:rPr>
        <w:t xml:space="preserve">A sociedade poderá, a qualquer tempo, abrir ou fechar filial(is) ou outra(s) dependência(s), mediante alteração contratual, desde que aprovado pelos votos correspondentes a, no mínimo, três quartos do capital social, nos termos do art. 1.076 da Lei n.º 10.406/2002.</w:t>
      </w:r>
    </w:p>
    <w:p>
      <w:pPr>
        <w:spacing w:after="100" w:before="200"/>
      </w:pPr>
      <w:r>
        <w:rPr>
          <w:rFonts w:ascii="Times New Roman" w:cs="Times New Roman" w:eastAsia="Times New Roman" w:hAnsi="Times New Roman"/>
          <w:b/>
          <w:bCs/>
          <w:sz w:val="24"/>
          <w:szCs w:val="24"/>
        </w:rPr>
        <w:t xml:space="preserve">CLÁUSULA SEGUNDA – DO OBJETO SOCIAL E DA DURAÇÃO</w:t>
      </w:r>
    </w:p>
    <w:p>
      <w:pPr>
        <w:spacing w:after="80" w:before="80"/>
        <w:ind w:firstLine="720"/>
        <w:jc w:val="both"/>
      </w:pPr>
      <w:r>
        <w:rPr>
          <w:rFonts w:ascii="Times New Roman" w:cs="Times New Roman" w:eastAsia="Times New Roman" w:hAnsi="Times New Roman"/>
          <w:sz w:val="24"/>
          <w:szCs w:val="24"/>
        </w:rPr>
        <w:t xml:space="preserve">A sociedade tem por objeto social principal o desenvolvimento e comercialização de softwares, sistemas e aplicações digitais (CNAE 6201-5/01 – Desenvolvimento de programas de computador sob encomenda).</w:t>
      </w:r>
    </w:p>
    <w:p>
      <w:pPr>
        <w:spacing w:after="80" w:before="80"/>
        <w:ind w:firstLine="720"/>
        <w:jc w:val="both"/>
      </w:pPr>
      <w:r>
        <w:rPr>
          <w:rFonts w:ascii="Times New Roman" w:cs="Times New Roman" w:eastAsia="Times New Roman" w:hAnsi="Times New Roman"/>
          <w:sz w:val="24"/>
          <w:szCs w:val="24"/>
        </w:rPr>
        <w:t xml:space="preserve">São objetos sociais secundários:</w:t>
      </w:r>
    </w:p>
    <w:p>
      <w:pPr>
        <w:spacing w:after="60" w:before="60"/>
        <w:ind w:left="720"/>
        <w:jc w:val="both"/>
      </w:pPr>
      <w:r>
        <w:rPr>
          <w:rFonts w:ascii="Times New Roman" w:cs="Times New Roman" w:eastAsia="Times New Roman" w:hAnsi="Times New Roman"/>
          <w:sz w:val="24"/>
          <w:szCs w:val="24"/>
        </w:rPr>
        <w:t xml:space="preserve">a) Criação, produção e publicação de conteúdo digital para plataformas de streaming e redes sociais, inclusive YouTube (CNAE 5911-1/02);</w:t>
      </w:r>
    </w:p>
    <w:p>
      <w:pPr>
        <w:spacing w:after="60" w:before="60"/>
        <w:ind w:left="720"/>
        <w:jc w:val="both"/>
      </w:pPr>
      <w:r>
        <w:rPr>
          <w:rFonts w:ascii="Times New Roman" w:cs="Times New Roman" w:eastAsia="Times New Roman" w:hAnsi="Times New Roman"/>
          <w:sz w:val="24"/>
          <w:szCs w:val="24"/>
        </w:rPr>
        <w:t xml:space="preserve">b) Desenvolvimento, publicação e distribuição de jogos eletrônicos (games) online (CNAE 5821-2/00);</w:t>
      </w:r>
    </w:p>
    <w:p>
      <w:pPr>
        <w:spacing w:after="60" w:before="60"/>
        <w:ind w:left="720"/>
        <w:jc w:val="both"/>
      </w:pPr>
      <w:r>
        <w:rPr>
          <w:rFonts w:ascii="Times New Roman" w:cs="Times New Roman" w:eastAsia="Times New Roman" w:hAnsi="Times New Roman"/>
          <w:sz w:val="24"/>
          <w:szCs w:val="24"/>
        </w:rPr>
        <w:t xml:space="preserve">c) Consultoria em tecnologia da informação (CNAE 6204-0/00).</w:t>
      </w:r>
    </w:p>
    <w:p>
      <w:pPr>
        <w:spacing w:after="80" w:before="80"/>
        <w:ind w:firstLine="720"/>
        <w:jc w:val="both"/>
      </w:pPr>
      <w:r>
        <w:rPr>
          <w:rFonts w:ascii="Times New Roman" w:cs="Times New Roman" w:eastAsia="Times New Roman" w:hAnsi="Times New Roman"/>
          <w:sz w:val="24"/>
          <w:szCs w:val="24"/>
        </w:rPr>
        <w:t xml:space="preserve">A empresa iniciará suas atividades a partir da data do arquivamento e seu prazo de duração é indeterminado.</w:t>
      </w:r>
    </w:p>
    <w:p>
      <w:pPr>
        <w:spacing w:after="100" w:before="200"/>
      </w:pPr>
      <w:r>
        <w:rPr>
          <w:rFonts w:ascii="Times New Roman" w:cs="Times New Roman" w:eastAsia="Times New Roman" w:hAnsi="Times New Roman"/>
          <w:b/>
          <w:bCs/>
          <w:sz w:val="24"/>
          <w:szCs w:val="24"/>
        </w:rPr>
        <w:t xml:space="preserve">CLÁUSULA TERCEIRA – DO CAPITAL SOCIAL</w:t>
      </w:r>
    </w:p>
    <w:p>
      <w:pPr>
        <w:spacing w:after="80" w:before="80"/>
        <w:ind w:firstLine="720"/>
        <w:jc w:val="both"/>
      </w:pPr>
      <w:r>
        <w:rPr>
          <w:rFonts w:ascii="Times New Roman" w:cs="Times New Roman" w:eastAsia="Times New Roman" w:hAnsi="Times New Roman"/>
          <w:sz w:val="24"/>
          <w:szCs w:val="24"/>
        </w:rPr>
        <w:t xml:space="preserve">O capital social subscrito será de R$ 10.000,00 (dez mil reais), dividido em 100 (cem) quotas de valor nominal de R$ 100,00 (cem reais) cada uma, totalmente integralizado neste ato em moeda corrente do país.</w:t>
      </w:r>
    </w:p>
    <w:p>
      <w:pPr>
        <w:spacing w:after="80" w:before="80"/>
        <w:ind w:firstLine="720"/>
        <w:jc w:val="both"/>
      </w:pPr>
      <w:r>
        <w:rPr>
          <w:rFonts w:ascii="Times New Roman" w:cs="Times New Roman" w:eastAsia="Times New Roman" w:hAnsi="Times New Roman"/>
          <w:sz w:val="24"/>
          <w:szCs w:val="24"/>
        </w:rPr>
        <w:t xml:space="preserve">Parágrafo Único – O capital social fica assim distribuído entre as sócias:</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c>
          <w:tcPr>
            <w:tcW w:type="dxa" w:w="3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tcPr>
          <w:p>
            <w:r>
              <w:rPr>
                <w:rFonts w:ascii="Times New Roman" w:cs="Times New Roman" w:eastAsia="Times New Roman" w:hAnsi="Times New Roman"/>
                <w:b/>
                <w:bCs/>
                <w:sz w:val="24"/>
                <w:szCs w:val="24"/>
              </w:rPr>
              <w:t xml:space="preserve">SÓCIA</w:t>
            </w:r>
          </w:p>
        </w:tc>
        <w:tc>
          <w:tcPr>
            <w:tcW w:type="dxa" w:w="18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QUOTAS</w:t>
            </w:r>
          </w:p>
        </w:tc>
        <w:tc>
          <w:tcPr>
            <w:tcW w:type="dxa" w:w="18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PARTICIPAÇÃO</w:t>
            </w:r>
          </w:p>
        </w:tc>
        <w:tc>
          <w:tcPr>
            <w:tcW w:type="dxa" w:w="2426"/>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VALOR (R$)</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Thayná Batista da Silva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w:t>
            </w:r>
          </w:p>
        </w:tc>
        <w:tc>
          <w:tcPr>
            <w:tcW w:type="dxa" w:w="24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R$ 5.000,00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Poliana Fontes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w:t>
            </w:r>
          </w:p>
        </w:tc>
        <w:tc>
          <w:tcPr>
            <w:tcW w:type="dxa" w:w="24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R$ 5.000,00</w:t>
            </w:r>
          </w:p>
        </w:tc>
      </w:tr>
      <w:tr>
        <w:tc>
          <w:tcPr>
            <w:tcW w:type="dxa" w:w="30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r>
              <w:rPr>
                <w:rFonts w:ascii="Times New Roman" w:cs="Times New Roman" w:eastAsia="Times New Roman" w:hAnsi="Times New Roman"/>
                <w:b/>
                <w:bCs/>
                <w:sz w:val="24"/>
                <w:szCs w:val="24"/>
              </w:rPr>
              <w:t xml:space="preserve">TOTALIDADE</w:t>
            </w:r>
          </w:p>
        </w:tc>
        <w:tc>
          <w:tcPr>
            <w:tcW w:type="dxa" w:w="1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100</w:t>
            </w:r>
          </w:p>
        </w:tc>
        <w:tc>
          <w:tcPr>
            <w:tcW w:type="dxa" w:w="1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100%</w:t>
            </w:r>
          </w:p>
        </w:tc>
        <w:tc>
          <w:tcPr>
            <w:tcW w:type="dxa" w:w="2426"/>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R$ 10.000,00</w:t>
            </w:r>
          </w:p>
        </w:tc>
      </w:tr>
    </w:tbl>
    <w:p>
      <w:pPr>
        <w:spacing w:after="100" w:before="100"/>
      </w:pPr>
    </w:p>
    <w:p>
      <w:pPr>
        <w:spacing w:after="80" w:before="80"/>
        <w:ind w:firstLine="720"/>
        <w:jc w:val="both"/>
      </w:pPr>
      <w:r>
        <w:rPr>
          <w:rFonts w:ascii="Times New Roman" w:cs="Times New Roman" w:eastAsia="Times New Roman" w:hAnsi="Times New Roman"/>
          <w:sz w:val="24"/>
          <w:szCs w:val="24"/>
        </w:rPr>
        <w:t xml:space="preserve">As quotas são indivisíveis e não poderão ser cedidas ou transferidas a terceiros sem o consentimento das demais sócias, a quem fica assegurado, em igualdade de condições e preço, direito de preferência para sua aquisição, se postas à venda, formalizando, se realizada a cessão delas, a alteração contratual pertinente.</w:t>
      </w:r>
    </w:p>
    <w:p>
      <w:pPr>
        <w:spacing w:after="80" w:before="80"/>
        <w:ind w:firstLine="720"/>
        <w:jc w:val="both"/>
      </w:pPr>
      <w:r>
        <w:rPr>
          <w:rFonts w:ascii="Times New Roman" w:cs="Times New Roman" w:eastAsia="Times New Roman" w:hAnsi="Times New Roman"/>
          <w:sz w:val="24"/>
          <w:szCs w:val="24"/>
        </w:rPr>
        <w:t xml:space="preserve">A responsabilidade de cada sócia é restrita ao valor de suas quotas, mas todas respondem solidariamente pela integralização do capital social.</w:t>
      </w:r>
    </w:p>
    <w:p>
      <w:pPr>
        <w:spacing w:after="80" w:before="80"/>
        <w:ind w:firstLine="720"/>
        <w:jc w:val="both"/>
      </w:pPr>
      <w:r>
        <w:rPr>
          <w:rFonts w:ascii="Times New Roman" w:cs="Times New Roman" w:eastAsia="Times New Roman" w:hAnsi="Times New Roman"/>
          <w:sz w:val="24"/>
          <w:szCs w:val="24"/>
        </w:rPr>
        <w:t xml:space="preserve">O capital social poderá ser aumentado uma ou várias vezes, mediante deliberação das sócias representando a maioria do capital social, cumpridas as formalidades legais aplicáveis.</w:t>
      </w:r>
    </w:p>
    <w:p>
      <w:pPr>
        <w:spacing w:after="100" w:before="200"/>
      </w:pPr>
      <w:r>
        <w:rPr>
          <w:rFonts w:ascii="Times New Roman" w:cs="Times New Roman" w:eastAsia="Times New Roman" w:hAnsi="Times New Roman"/>
          <w:b/>
          <w:bCs/>
          <w:sz w:val="24"/>
          <w:szCs w:val="24"/>
        </w:rPr>
        <w:t xml:space="preserve">CLÁUSULA QUARTA – DA ADMINISTRAÇÃO E DO PRÓ-LABORE</w:t>
      </w:r>
    </w:p>
    <w:p>
      <w:pPr>
        <w:spacing w:after="80" w:before="80"/>
        <w:ind w:firstLine="720"/>
        <w:jc w:val="both"/>
      </w:pPr>
      <w:r>
        <w:rPr>
          <w:rFonts w:ascii="Times New Roman" w:cs="Times New Roman" w:eastAsia="Times New Roman" w:hAnsi="Times New Roman"/>
          <w:sz w:val="24"/>
          <w:szCs w:val="24"/>
        </w:rPr>
        <w:t xml:space="preserve">A administração da sociedade caberá exclusivamente a POLIANA FONTES, na condição de sócia administradora, com os poderes e atribuições de representação ativa e passiva da sociedade, judicial e extrajudicialmente, podendo praticar todos os atos compreendidos no objeto social, sempre no interesse da sociedade, vedado, no entanto, fazê-lo em atividades estranhas ao interesse social ou assumir obrigações em favor de qualquer dos cotistas ou de terceiros, bem como onerar ou alienar bens imóveis da sociedade, sem autorização por escrito da outra sócia.</w:t>
      </w:r>
    </w:p>
    <w:p>
      <w:pPr>
        <w:spacing w:after="80" w:before="80"/>
        <w:ind w:firstLine="720"/>
        <w:jc w:val="both"/>
      </w:pPr>
      <w:r>
        <w:rPr>
          <w:rFonts w:ascii="Times New Roman" w:cs="Times New Roman" w:eastAsia="Times New Roman" w:hAnsi="Times New Roman"/>
          <w:sz w:val="24"/>
          <w:szCs w:val="24"/>
        </w:rPr>
        <w:t xml:space="preserve">Parágrafo Primeiro – No exercício da administração, a administradora terá direito a uma retirada mensal a título de pró-labore, cujo valor será de 02 (dois) salários mínimos vigentes no país, podendo ser alterado por decisão das sócias, em deliberação prévia e registro em ata.</w:t>
      </w:r>
    </w:p>
    <w:p>
      <w:pPr>
        <w:spacing w:after="80" w:before="80"/>
        <w:ind w:firstLine="720"/>
        <w:jc w:val="both"/>
      </w:pPr>
      <w:r>
        <w:rPr>
          <w:rFonts w:ascii="Times New Roman" w:cs="Times New Roman" w:eastAsia="Times New Roman" w:hAnsi="Times New Roman"/>
          <w:sz w:val="24"/>
          <w:szCs w:val="24"/>
        </w:rPr>
        <w:t xml:space="preserve">Parágrafo Segundo – Havendo o ingresso de outra(s) sócia(s) no quadro societário, esta(s) não será(ão) levada(s) automaticamente ao cargo de administradora, podendo, entretanto, ser promovida alteração no contrato social posterior.</w:t>
      </w:r>
    </w:p>
    <w:p>
      <w:pPr>
        <w:spacing w:after="80" w:before="80"/>
        <w:ind w:firstLine="720"/>
        <w:jc w:val="both"/>
      </w:pPr>
      <w:r>
        <w:rPr>
          <w:rFonts w:ascii="Times New Roman" w:cs="Times New Roman" w:eastAsia="Times New Roman" w:hAnsi="Times New Roman"/>
          <w:sz w:val="24"/>
          <w:szCs w:val="24"/>
        </w:rPr>
        <w:t xml:space="preserve">Parágrafo Terceiro – Caso a administradora se retire da sociedade, caberá à sócia restante assumir a administração da sociedade até deliberação em contrário.</w:t>
      </w:r>
    </w:p>
    <w:p>
      <w:pPr>
        <w:spacing w:after="100" w:before="200"/>
      </w:pPr>
      <w:r>
        <w:rPr>
          <w:rFonts w:ascii="Times New Roman" w:cs="Times New Roman" w:eastAsia="Times New Roman" w:hAnsi="Times New Roman"/>
          <w:b/>
          <w:bCs/>
          <w:sz w:val="24"/>
          <w:szCs w:val="24"/>
        </w:rPr>
        <w:t xml:space="preserve">CLÁUSULA QUINTA – DAS DELIBERAÇÕES SOCIAIS</w:t>
      </w:r>
    </w:p>
    <w:p>
      <w:pPr>
        <w:spacing w:after="80" w:before="80"/>
        <w:ind w:firstLine="720"/>
        <w:jc w:val="both"/>
      </w:pPr>
      <w:r>
        <w:rPr>
          <w:rFonts w:ascii="Times New Roman" w:cs="Times New Roman" w:eastAsia="Times New Roman" w:hAnsi="Times New Roman"/>
          <w:sz w:val="24"/>
          <w:szCs w:val="24"/>
        </w:rPr>
        <w:t xml:space="preserve">As deliberações das sócias serão tomadas em reunião de sócias, convocada por qualquer delas, com antecedência mínima de 8 (oito) dias, mediante comunicação escrita, com as seguintes regras de quórum:</w:t>
      </w:r>
    </w:p>
    <w:p>
      <w:pPr>
        <w:spacing w:after="60" w:before="60"/>
        <w:ind w:left="720"/>
        <w:jc w:val="both"/>
      </w:pPr>
      <w:r>
        <w:rPr>
          <w:rFonts w:ascii="Times New Roman" w:cs="Times New Roman" w:eastAsia="Times New Roman" w:hAnsi="Times New Roman"/>
          <w:sz w:val="24"/>
          <w:szCs w:val="24"/>
        </w:rPr>
        <w:t xml:space="preserve">a) Alteração do contrato social: votos correspondentes a ¾ (três quartos) do capital social;</w:t>
      </w:r>
    </w:p>
    <w:p>
      <w:pPr>
        <w:spacing w:after="60" w:before="60"/>
        <w:ind w:left="720"/>
        <w:jc w:val="both"/>
      </w:pPr>
      <w:r>
        <w:rPr>
          <w:rFonts w:ascii="Times New Roman" w:cs="Times New Roman" w:eastAsia="Times New Roman" w:hAnsi="Times New Roman"/>
          <w:sz w:val="24"/>
          <w:szCs w:val="24"/>
        </w:rPr>
        <w:t xml:space="preserve">b) Demais deliberações ordinárias: maioria simples do capital social.</w:t>
      </w:r>
    </w:p>
    <w:p>
      <w:pPr>
        <w:spacing w:after="100" w:before="200"/>
      </w:pPr>
      <w:r>
        <w:rPr>
          <w:rFonts w:ascii="Times New Roman" w:cs="Times New Roman" w:eastAsia="Times New Roman" w:hAnsi="Times New Roman"/>
          <w:b/>
          <w:bCs/>
          <w:sz w:val="24"/>
          <w:szCs w:val="24"/>
        </w:rPr>
        <w:t xml:space="preserve">CLÁUSULA SEXTA – DA RETIRADA, EXCLUSÃO E DISSOLUÇÃO</w:t>
      </w:r>
    </w:p>
    <w:p>
      <w:pPr>
        <w:spacing w:after="80" w:before="80"/>
        <w:ind w:firstLine="720"/>
        <w:jc w:val="both"/>
      </w:pPr>
      <w:r>
        <w:rPr>
          <w:rFonts w:ascii="Times New Roman" w:cs="Times New Roman" w:eastAsia="Times New Roman" w:hAnsi="Times New Roman"/>
          <w:sz w:val="24"/>
          <w:szCs w:val="24"/>
        </w:rPr>
        <w:t xml:space="preserve">A sócia que desejar se retirar da sociedade deverá notificar as demais com antecedência mínima de 60 (sessenta) dias, mediante notificação escrita. O valor do reembolso será apurado com base no patrimônio líquido da sociedade na data do pedido.</w:t>
      </w:r>
    </w:p>
    <w:p>
      <w:pPr>
        <w:spacing w:after="80" w:before="80"/>
        <w:ind w:firstLine="720"/>
        <w:jc w:val="both"/>
      </w:pPr>
      <w:r>
        <w:rPr>
          <w:rFonts w:ascii="Times New Roman" w:cs="Times New Roman" w:eastAsia="Times New Roman" w:hAnsi="Times New Roman"/>
          <w:sz w:val="24"/>
          <w:szCs w:val="24"/>
        </w:rPr>
        <w:t xml:space="preserve">A dissolução da sociedade dar-se-á nos casos previstos em lei, deliberados pelas sócias em reunião específica para tal fim.</w:t>
      </w:r>
    </w:p>
    <w:p>
      <w:pPr>
        <w:spacing w:after="100" w:before="200"/>
      </w:pPr>
      <w:r>
        <w:rPr>
          <w:rFonts w:ascii="Times New Roman" w:cs="Times New Roman" w:eastAsia="Times New Roman" w:hAnsi="Times New Roman"/>
          <w:b/>
          <w:bCs/>
          <w:sz w:val="24"/>
          <w:szCs w:val="24"/>
        </w:rPr>
        <w:t xml:space="preserve">CLÁUSULA SÉTIMA – DO EXERCÍCIO SOCIAL E DAS CONTAS</w:t>
      </w:r>
    </w:p>
    <w:p>
      <w:pPr>
        <w:spacing w:after="80" w:before="80"/>
        <w:ind w:firstLine="720"/>
        <w:jc w:val="both"/>
      </w:pPr>
      <w:r>
        <w:rPr>
          <w:rFonts w:ascii="Times New Roman" w:cs="Times New Roman" w:eastAsia="Times New Roman" w:hAnsi="Times New Roman"/>
          <w:sz w:val="24"/>
          <w:szCs w:val="24"/>
        </w:rPr>
        <w:t xml:space="preserve">O exercício social terá duração de 12 (doze) meses, encerrando-se em 31 de dezembro de cada ano, quando serão levantados o balanço patrimonial e a demonstração de resultado do exercício.</w:t>
      </w:r>
    </w:p>
    <w:p>
      <w:pPr>
        <w:spacing w:after="100" w:before="200"/>
      </w:pPr>
      <w:r>
        <w:rPr>
          <w:rFonts w:ascii="Times New Roman" w:cs="Times New Roman" w:eastAsia="Times New Roman" w:hAnsi="Times New Roman"/>
          <w:b/>
          <w:bCs/>
          <w:sz w:val="24"/>
          <w:szCs w:val="24"/>
        </w:rPr>
        <w:t xml:space="preserve">CLÁUSULA OITAVA – DO FORO</w:t>
      </w:r>
    </w:p>
    <w:p>
      <w:pPr>
        <w:spacing w:after="80" w:before="80"/>
        <w:ind w:firstLine="720"/>
        <w:jc w:val="both"/>
      </w:pPr>
      <w:r>
        <w:rPr>
          <w:rFonts w:ascii="Times New Roman" w:cs="Times New Roman" w:eastAsia="Times New Roman" w:hAnsi="Times New Roman"/>
          <w:sz w:val="24"/>
          <w:szCs w:val="24"/>
        </w:rPr>
        <w:t xml:space="preserve">Fica eleito o Foro da Comarca de Recife – PE para dirimir quaisquer dúvidas ou litígios oriundos do presente instrumento, com renúncia expressa de qualquer outro, por mais privilegiado que seja.</w:t>
      </w:r>
    </w:p>
    <w:p>
      <w:pPr>
        <w:spacing w:after="100" w:before="100"/>
      </w:pPr>
    </w:p>
    <w:p>
      <w:pPr>
        <w:spacing w:after="80" w:before="80"/>
        <w:ind w:firstLine="720"/>
        <w:jc w:val="both"/>
      </w:pPr>
      <w:r>
        <w:rPr>
          <w:rFonts w:ascii="Times New Roman" w:cs="Times New Roman" w:eastAsia="Times New Roman" w:hAnsi="Times New Roman"/>
          <w:sz w:val="24"/>
          <w:szCs w:val="24"/>
        </w:rPr>
        <w:t xml:space="preserve">E, por estarem assim justas e contratadas, as sócias assinam o presente instrumento em 02 (duas) vias de igual teor e forma, na presença das 02 (duas) testemunhas abaixo identificadas.</w:t>
      </w:r>
    </w:p>
    <w:p>
      <w:pPr>
        <w:spacing w:after="300" w:before="200"/>
        <w:jc w:val="left"/>
      </w:pPr>
      <w:r>
        <w:rPr>
          <w:rFonts w:ascii="Times New Roman" w:cs="Times New Roman" w:eastAsia="Times New Roman" w:hAnsi="Times New Roman"/>
          <w:b/>
          <w:bCs/>
          <w:sz w:val="24"/>
          <w:szCs w:val="24"/>
        </w:rPr>
        <w:t xml:space="preserve">Recife – PE, 29 de maio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713"/>
      </w:tblGrid>
      <w:tr>
        <w:tc>
          <w:tcPr>
            <w:tcW w:type="dxa" w:w="4313"/>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Times New Roman" w:cs="Times New Roman" w:eastAsia="Times New Roman" w:hAnsi="Times New Roman"/>
                <w:sz w:val="24"/>
                <w:szCs w:val="24"/>
              </w:rPr>
              <w:t xml:space="preserve">_________________________________________</w:t>
            </w:r>
          </w:p>
          <w:p>
            <w:pPr>
              <w:jc w:val="center"/>
            </w:pPr>
            <w:r>
              <w:rPr>
                <w:rFonts w:ascii="Times New Roman" w:cs="Times New Roman" w:eastAsia="Times New Roman" w:hAnsi="Times New Roman"/>
                <w:b/>
                <w:bCs/>
                <w:sz w:val="24"/>
                <w:szCs w:val="24"/>
              </w:rPr>
              <w:t xml:space="preserve">Thayná Batista da Silva</w:t>
            </w:r>
          </w:p>
          <w:p>
            <w:pPr>
              <w:jc w:val="center"/>
            </w:pPr>
            <w:r>
              <w:rPr>
                <w:rFonts w:ascii="Times New Roman" w:cs="Times New Roman" w:eastAsia="Times New Roman" w:hAnsi="Times New Roman"/>
                <w:sz w:val="24"/>
                <w:szCs w:val="24"/>
              </w:rPr>
              <w:t xml:space="preserve">Sócia</w:t>
            </w:r>
          </w:p>
        </w:tc>
        <w:tc>
          <w:tcPr>
            <w:tcW w:type="dxa" w:w="4713"/>
            <w:tcBorders>
              <w:top w:val="none" w:color="FFFFFF" w:sz="0"/>
              <w:left w:val="none" w:color="FFFFFF" w:sz="0"/>
              <w:bottom w:val="none" w:color="FFFFFF" w:sz="0"/>
              <w:right w:val="none" w:color="FFFFFF" w:sz="0"/>
            </w:tcBorders>
            <w:tcMar>
              <w:top w:type="dxa" w:w="80"/>
              <w:left w:type="dxa" w:w="120"/>
              <w:bottom w:type="dxa" w:w="80"/>
              <w:right w:type="dxa" w:w="0"/>
            </w:tcMar>
          </w:tcPr>
          <w:p>
            <w:pPr>
              <w:jc w:val="center"/>
            </w:pPr>
            <w:r>
              <w:rPr>
                <w:rFonts w:ascii="Times New Roman" w:cs="Times New Roman" w:eastAsia="Times New Roman" w:hAnsi="Times New Roman"/>
                <w:sz w:val="24"/>
                <w:szCs w:val="24"/>
              </w:rPr>
              <w:t xml:space="preserve">_________________________________________</w:t>
            </w:r>
          </w:p>
          <w:p>
            <w:pPr>
              <w:jc w:val="center"/>
            </w:pPr>
            <w:r>
              <w:rPr>
                <w:rFonts w:ascii="Times New Roman" w:cs="Times New Roman" w:eastAsia="Times New Roman" w:hAnsi="Times New Roman"/>
                <w:b/>
                <w:bCs/>
                <w:sz w:val="24"/>
                <w:szCs w:val="24"/>
              </w:rPr>
              <w:t xml:space="preserve">Poliana Fontes</w:t>
            </w:r>
          </w:p>
          <w:p>
            <w:pPr>
              <w:jc w:val="center"/>
            </w:pPr>
            <w:r>
              <w:rPr>
                <w:rFonts w:ascii="Times New Roman" w:cs="Times New Roman" w:eastAsia="Times New Roman" w:hAnsi="Times New Roman"/>
                <w:sz w:val="24"/>
                <w:szCs w:val="24"/>
              </w:rPr>
              <w:t xml:space="preserve">Sócia Administradora</w:t>
            </w:r>
          </w:p>
        </w:tc>
      </w:tr>
    </w:tbl>
    <w:p>
      <w:pPr>
        <w:spacing w:after="100" w:before="100"/>
      </w:pPr>
    </w:p>
    <w:p>
      <w:pPr>
        <w:spacing w:after="100" w:before="100"/>
      </w:pPr>
    </w:p>
    <w:p>
      <w:pPr>
        <w:spacing w:after="100" w:before="200"/>
        <w:jc w:val="left"/>
      </w:pPr>
      <w:r>
        <w:rPr>
          <w:rFonts w:ascii="Times New Roman" w:cs="Times New Roman" w:eastAsia="Times New Roman" w:hAnsi="Times New Roman"/>
          <w:b/>
          <w:bCs/>
          <w:sz w:val="24"/>
          <w:szCs w:val="24"/>
        </w:rPr>
        <w:t xml:space="preserve">Testemunhas:</w:t>
      </w:r>
      <w:r>
        <w:rPr>
          <w:rFonts w:ascii="Times New Roman" w:cs="Times New Roman" w:eastAsia="Times New Roman" w:hAnsi="Times New Roman"/>
          <w:sz w:val="24"/>
          <w:szCs w:val="24"/>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713"/>
      </w:tblGrid>
      <w:tr>
        <w:tc>
          <w:tcPr>
            <w:tcW w:type="dxa" w:w="4313"/>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Times New Roman" w:cs="Times New Roman" w:eastAsia="Times New Roman" w:hAnsi="Times New Roman"/>
                <w:sz w:val="24"/>
                <w:szCs w:val="24"/>
              </w:rPr>
              <w:t xml:space="preserve">_________________________________________</w:t>
            </w:r>
          </w:p>
          <w:p>
            <w:pPr>
              <w:jc w:val="center"/>
            </w:pPr>
            <w:r>
              <w:rPr>
                <w:rFonts w:ascii="Times New Roman" w:cs="Times New Roman" w:eastAsia="Times New Roman" w:hAnsi="Times New Roman"/>
                <w:b/>
                <w:bCs/>
                <w:sz w:val="24"/>
                <w:szCs w:val="24"/>
              </w:rPr>
              <w:t xml:space="preserve">Leon Martins</w:t>
            </w:r>
          </w:p>
          <w:p>
            <w:pPr>
              <w:jc w:val="center"/>
            </w:pPr>
            <w:r>
              <w:rPr>
                <w:rFonts w:ascii="Times New Roman" w:cs="Times New Roman" w:eastAsia="Times New Roman" w:hAnsi="Times New Roman"/>
                <w:sz w:val="24"/>
                <w:szCs w:val="24"/>
              </w:rPr>
              <w:t xml:space="preserve">CPF: 111.222.333-44</w:t>
            </w:r>
          </w:p>
        </w:tc>
        <w:tc>
          <w:tcPr>
            <w:tcW w:type="dxa" w:w="4713"/>
            <w:tcBorders>
              <w:top w:val="none" w:color="FFFFFF" w:sz="0"/>
              <w:left w:val="none" w:color="FFFFFF" w:sz="0"/>
              <w:bottom w:val="none" w:color="FFFFFF" w:sz="0"/>
              <w:right w:val="none" w:color="FFFFFF" w:sz="0"/>
            </w:tcBorders>
            <w:tcMar>
              <w:top w:type="dxa" w:w="80"/>
              <w:left w:type="dxa" w:w="120"/>
              <w:bottom w:type="dxa" w:w="80"/>
              <w:right w:type="dxa" w:w="0"/>
            </w:tcMar>
          </w:tcPr>
          <w:p>
            <w:pPr>
              <w:jc w:val="center"/>
            </w:pPr>
            <w:r>
              <w:rPr>
                <w:rFonts w:ascii="Times New Roman" w:cs="Times New Roman" w:eastAsia="Times New Roman" w:hAnsi="Times New Roman"/>
                <w:sz w:val="24"/>
                <w:szCs w:val="24"/>
              </w:rPr>
              <w:t xml:space="preserve">_________________________________________</w:t>
            </w:r>
          </w:p>
          <w:p>
            <w:pPr>
              <w:jc w:val="center"/>
            </w:pPr>
            <w:r>
              <w:rPr>
                <w:rFonts w:ascii="Times New Roman" w:cs="Times New Roman" w:eastAsia="Times New Roman" w:hAnsi="Times New Roman"/>
                <w:b/>
                <w:bCs/>
                <w:sz w:val="24"/>
                <w:szCs w:val="24"/>
              </w:rPr>
              <w:t xml:space="preserve">Nilce Moretto</w:t>
            </w:r>
          </w:p>
          <w:p>
            <w:pPr>
              <w:jc w:val="center"/>
            </w:pPr>
            <w:r>
              <w:rPr>
                <w:rFonts w:ascii="Times New Roman" w:cs="Times New Roman" w:eastAsia="Times New Roman" w:hAnsi="Times New Roman"/>
                <w:sz w:val="24"/>
                <w:szCs w:val="24"/>
              </w:rPr>
              <w:t xml:space="preserve">CPF: 555.666.777-88</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2026-05-30T18:00:04.338Z</dcterms:created>
  <dcterms:modified xsi:type="dcterms:W3CDTF">2026-05-30T18:00:04.338Z</dcterms:modified>
</cp:coreProperties>
</file>

<file path=docProps/custom.xml><?xml version="1.0" encoding="utf-8"?>
<Properties xmlns="http://schemas.openxmlformats.org/officeDocument/2006/custom-properties" xmlns:vt="http://schemas.openxmlformats.org/officeDocument/2006/docPropsVTypes"/>
</file>