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color w:val="1F4E78"/>
          <w:sz w:val="44"/>
          <w:szCs w:val="44"/>
        </w:rPr>
        <w:t xml:space="preserve">Data Collection, Cleaning &amp; Preprocessing for Logistics Analysis</w:t>
      </w:r>
    </w:p>
    <w:p>
      <w:pPr>
        <w:spacing w:after="60"/>
      </w:pPr>
      <w:r>
        <w:rPr>
          <w:color w:val="404040"/>
          <w:sz w:val="26"/>
          <w:szCs w:val="26"/>
        </w:rPr>
        <w:t xml:space="preserve">Week 2 Task — Logistics Data Analyst Intern</w:t>
      </w:r>
    </w:p>
    <w:p>
      <w:pPr>
        <w:spacing w:after="400"/>
      </w:pPr>
      <w:r>
        <w:rPr>
          <w:color w:val="595959"/>
          <w:sz w:val="22"/>
          <w:szCs w:val="22"/>
        </w:rPr>
        <w:t xml:space="preserve">Yuva (YuvaIntern.com)  ·  30 Jul – 27 Aug 2026</w:t>
      </w:r>
    </w:p>
    <w:p>
      <w:pPr>
        <w:spacing w:after="60"/>
      </w:pPr>
      <w:r>
        <w:rPr>
          <w:b/>
          <w:bCs/>
          <w:sz w:val="22"/>
          <w:szCs w:val="22"/>
        </w:rPr>
        <w:t xml:space="preserve">Prepared by: </w:t>
      </w:r>
      <w:r>
        <w:rPr>
          <w:sz w:val="22"/>
          <w:szCs w:val="22"/>
        </w:rPr>
        <w:t xml:space="preserve">Ayushman</w:t>
      </w:r>
    </w:p>
    <w:p>
      <w:pPr>
        <w:spacing w:after="60"/>
      </w:pPr>
      <w:r>
        <w:rPr>
          <w:b/>
          <w:bCs/>
          <w:sz w:val="22"/>
          <w:szCs w:val="22"/>
        </w:rPr>
        <w:t xml:space="preserve">Date: </w:t>
      </w:r>
      <w:r>
        <w:rPr>
          <w:sz w:val="22"/>
          <w:szCs w:val="22"/>
        </w:rPr>
        <w:t xml:space="preserve">August 26, 2026</w:t>
      </w:r>
    </w:p>
    <w:p>
      <w:pPr>
        <w:spacing w:after="600"/>
      </w:pPr>
      <w:r>
        <w:rPr>
          <w:b/>
          <w:bCs/>
          <w:sz w:val="22"/>
          <w:szCs w:val="22"/>
        </w:rPr>
        <w:t xml:space="preserve">Reference dataset: </w:t>
      </w:r>
      <w:r>
        <w:rPr>
          <w:sz w:val="22"/>
          <w:szCs w:val="22"/>
        </w:rPr>
        <w:t xml:space="preserve">DataCo Smart Supply Chain for Big Data Analysis (Kaggle)</w:t>
      </w:r>
    </w:p>
    <w:p>
      <w:pPr>
        <w:pBdr>
          <w:bottom w:val="single" w:color="1F4E78" w:sz="6"/>
        </w:pBdr>
        <w:spacing w:after="400"/>
      </w:pPr>
    </w:p>
    <w:p>
      <w:pPr>
        <w:pStyle w:val="Heading1"/>
      </w:pPr>
      <w:r>
        <w:t xml:space="preserve">1. Objective</w:t>
      </w:r>
    </w:p>
    <w:p>
      <w:pPr>
        <w:spacing w:after="200" w:line="300"/>
      </w:pPr>
      <w:r>
        <w:rPr>
          <w:b w:val="false"/>
          <w:bCs w:val="false"/>
          <w:i w:val="false"/>
          <w:iCs w:val="false"/>
        </w:rPr>
        <w:t xml:space="preserve">This report documents the data collection, cleaning, and preprocessing stage of the logistics analytics workflow, following on from the strategic planning completed in Week 1. The goal is to take a realistic, imperfect logistics dataset through a complete and reproducible preparation pipeline — resolving missing values, duplicate records, inconsistent formatting, invalid entries, and outliers — and normalize the result into a form that is ready for the descriptive and predictive analysis planned for Weeks 3 and 4.</w:t>
      </w:r>
    </w:p>
    <w:p>
      <w:pPr>
        <w:spacing w:after="200" w:line="300"/>
      </w:pPr>
      <w:r>
        <w:rPr>
          <w:b w:val="false"/>
          <w:bCs w:val="false"/>
          <w:i w:val="false"/>
          <w:iCs w:val="false"/>
        </w:rPr>
        <w:t xml:space="preserve">Every technique described below was implemented in Python (pandas and NumPy) and run end-to-end on a working sample, so the figures quoted throughout this report — row counts, missing-value rates, imputed values, outlier counts — are the actual output of the pipeline rather than estimates.</w:t>
      </w:r>
    </w:p>
    <w:p>
      <w:pPr>
        <w:pStyle w:val="Heading1"/>
      </w:pPr>
      <w:r>
        <w:t xml:space="preserve">2. Data Collection Simulation</w:t>
      </w:r>
    </w:p>
    <w:p>
      <w:pPr>
        <w:pStyle w:val="Heading2"/>
      </w:pPr>
      <w:r>
        <w:t xml:space="preserve">2.1 Reference dataset</w:t>
      </w:r>
    </w:p>
    <w:p>
      <w:pPr>
        <w:spacing w:after="200" w:line="300"/>
      </w:pPr>
      <w:r>
        <w:rPr>
          <w:b w:val="false"/>
          <w:bCs w:val="false"/>
          <w:i w:val="false"/>
          <w:iCs w:val="false"/>
        </w:rPr>
        <w:t xml:space="preserve">The DataCo Smart Supply Chain for Big Data Analysis dataset, published on Kaggle, was used as the structural reference for this exercise. It is a widely used public dataset in supply-chain analytics coursework and portfolios, with the following characteristics:</w:t>
      </w:r>
    </w:p>
    <w:p>
      <w:pPr>
        <w:pStyle w:val="ListParagraph"/>
        <w:numPr>
          <w:ilvl w:val="0"/>
          <w:numId w:val="2"/>
        </w:numPr>
        <w:spacing w:after="100" w:line="280"/>
      </w:pPr>
      <w:r>
        <w:t xml:space="preserve">Scale: approximately 180,519 order-line records across 53 fields.</w:t>
      </w:r>
    </w:p>
    <w:p>
      <w:pPr>
        <w:pStyle w:val="ListParagraph"/>
        <w:numPr>
          <w:ilvl w:val="0"/>
          <w:numId w:val="2"/>
        </w:numPr>
        <w:spacing w:after="100" w:line="280"/>
      </w:pPr>
      <w:r>
        <w:t xml:space="preserve">Coverage: order, product, shipping, customer-segment, and financial data for a retailer operating across five global markets — LATAM, Europe, Pacific Asia, USCA, and Africa.</w:t>
      </w:r>
    </w:p>
    <w:p>
      <w:pPr>
        <w:pStyle w:val="ListParagraph"/>
        <w:numPr>
          <w:ilvl w:val="0"/>
          <w:numId w:val="2"/>
        </w:numPr>
        <w:spacing w:after="100" w:line="280"/>
      </w:pPr>
      <w:r>
        <w:t xml:space="preserve">Logistics relevance: it records both the scheduled and the actual shipping duration for every order, which directly supports on-time-delivery and late-delivery-risk analysis — the same KPI family identified during Week 1's strategic planning.</w:t>
      </w:r>
    </w:p>
    <w:p>
      <w:pPr>
        <w:spacing w:after="200" w:line="300"/>
      </w:pPr>
      <w:r>
        <w:rPr>
          <w:b w:val="false"/>
          <w:bCs w:val="false"/>
          <w:i w:val="false"/>
          <w:iCs w:val="false"/>
        </w:rPr>
        <w:t xml:space="preserve">Full citation details are provided in the References section.</w:t>
      </w:r>
    </w:p>
    <w:p>
      <w:pPr>
        <w:pStyle w:val="Heading2"/>
      </w:pPr>
      <w:r>
        <w:t xml:space="preserve">2.2 Working sample used for this exercise</w:t>
      </w:r>
    </w:p>
    <w:p>
      <w:pPr>
        <w:spacing w:after="200" w:line="300"/>
      </w:pPr>
      <w:r>
        <w:rPr>
          <w:b w:val="false"/>
          <w:bCs w:val="false"/>
          <w:i w:val="false"/>
          <w:iCs w:val="false"/>
        </w:rPr>
        <w:t xml:space="preserve">Processing the complete 180K-row extract is outside the scope of a single weekly task, so a representative working sample of 4,000 order records was generated in Python, using the same field structure and the same categories of data-quality problems that are commonly documented for logistics extracts of this kind: heavy missingness in secondary geographic fields, duplicate records from repeated system syncs, inconsistent text entry across source systems, invalid values from data-entry errors, and delivery-time outliers. This makes it possible to run the full pipeline below end-to-end against known, verifiable numbers.</w:t>
      </w:r>
    </w:p>
    <w:p>
      <w:pPr>
        <w:spacing w:after="240" w:before="80"/>
      </w:pPr>
      <w:r>
        <w:rPr>
          <w:i/>
          <w:iCs/>
          <w:color w:val="595959"/>
          <w:sz w:val="19"/>
          <w:szCs w:val="19"/>
        </w:rPr>
        <w:t xml:space="preserve">Table 1. Data dictionary for the working sample (17 raw fields).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4800"/>
      </w:tblGrid>
      <w:tr>
        <w:trPr>
          <w:tblHeader/>
        </w:trPr>
        <w:tc>
          <w:tcPr>
            <w:tcW w:type="dxa" w:w="2900"/>
            <w:shd w:fill="1F4E78" w:color="auto" w:val="clear"/>
            <w:tcMar>
              <w:top w:type="dxa" w:w="80"/>
              <w:left w:type="dxa" w:w="120"/>
              <w:bottom w:type="dxa" w:w="80"/>
              <w:right w:type="dxa" w:w="120"/>
            </w:tcMar>
            <w:vAlign w:val="center"/>
          </w:tcPr>
          <w:p>
            <w:r>
              <w:rPr>
                <w:b/>
                <w:bCs/>
                <w:color w:val="FFFFFF"/>
                <w:sz w:val="19"/>
                <w:szCs w:val="19"/>
              </w:rPr>
              <w:t xml:space="preserve">Field</w:t>
            </w:r>
          </w:p>
        </w:tc>
        <w:tc>
          <w:tcPr>
            <w:tcW w:type="dxa" w:w="1300"/>
            <w:shd w:fill="1F4E78" w:color="auto" w:val="clear"/>
            <w:tcMar>
              <w:top w:type="dxa" w:w="80"/>
              <w:left w:type="dxa" w:w="120"/>
              <w:bottom w:type="dxa" w:w="80"/>
              <w:right w:type="dxa" w:w="120"/>
            </w:tcMar>
            <w:vAlign w:val="center"/>
          </w:tcPr>
          <w:p>
            <w:r>
              <w:rPr>
                <w:b/>
                <w:bCs/>
                <w:color w:val="FFFFFF"/>
                <w:sz w:val="19"/>
                <w:szCs w:val="19"/>
              </w:rPr>
              <w:t xml:space="preserve">Type</w:t>
            </w:r>
          </w:p>
        </w:tc>
        <w:tc>
          <w:tcPr>
            <w:tcW w:type="dxa" w:w="4800"/>
            <w:shd w:fill="1F4E78" w:color="auto" w:val="clear"/>
            <w:tcMar>
              <w:top w:type="dxa" w:w="80"/>
              <w:left w:type="dxa" w:w="120"/>
              <w:bottom w:type="dxa" w:w="80"/>
              <w:right w:type="dxa" w:w="120"/>
            </w:tcMar>
            <w:vAlign w:val="center"/>
          </w:tcPr>
          <w:p>
            <w:r>
              <w:rPr>
                <w:b/>
                <w:bCs/>
                <w:color w:val="FFFFFF"/>
                <w:sz w:val="19"/>
                <w:szCs w:val="19"/>
              </w:rPr>
              <w:t xml:space="preserve">Description</w:t>
            </w:r>
          </w:p>
        </w:tc>
      </w:tr>
      <w:tr>
        <w:tc>
          <w:tcPr>
            <w:tcW w:type="dxa" w:w="2900"/>
            <w:tcMar>
              <w:top w:type="dxa" w:w="80"/>
              <w:left w:type="dxa" w:w="120"/>
              <w:bottom w:type="dxa" w:w="80"/>
              <w:right w:type="dxa" w:w="120"/>
            </w:tcMar>
            <w:vAlign w:val="center"/>
          </w:tcPr>
          <w:p>
            <w:r>
              <w:rPr>
                <w:b w:val="false"/>
                <w:bCs w:val="false"/>
                <w:color w:val="000000"/>
                <w:sz w:val="19"/>
                <w:szCs w:val="19"/>
              </w:rPr>
              <w:t xml:space="preserve">order_id</w:t>
            </w:r>
          </w:p>
        </w:tc>
        <w:tc>
          <w:tcPr>
            <w:tcW w:type="dxa" w:w="1300"/>
            <w:tcMar>
              <w:top w:type="dxa" w:w="80"/>
              <w:left w:type="dxa" w:w="120"/>
              <w:bottom w:type="dxa" w:w="80"/>
              <w:right w:type="dxa" w:w="120"/>
            </w:tcMar>
            <w:vAlign w:val="center"/>
          </w:tcPr>
          <w:p>
            <w:r>
              <w:rPr>
                <w:b w:val="false"/>
                <w:bCs w:val="false"/>
                <w:color w:val="000000"/>
                <w:sz w:val="19"/>
                <w:szCs w:val="19"/>
              </w:rPr>
              <w:t xml:space="preserve">Integer</w:t>
            </w:r>
          </w:p>
        </w:tc>
        <w:tc>
          <w:tcPr>
            <w:tcW w:type="dxa" w:w="4800"/>
            <w:tcMar>
              <w:top w:type="dxa" w:w="80"/>
              <w:left w:type="dxa" w:w="120"/>
              <w:bottom w:type="dxa" w:w="80"/>
              <w:right w:type="dxa" w:w="120"/>
            </w:tcMar>
            <w:vAlign w:val="center"/>
          </w:tcPr>
          <w:p>
            <w:r>
              <w:rPr>
                <w:b w:val="false"/>
                <w:bCs w:val="false"/>
                <w:color w:val="000000"/>
                <w:sz w:val="19"/>
                <w:szCs w:val="19"/>
              </w:rPr>
              <w:t xml:space="preserve">Unique identifier for each order line</w:t>
            </w:r>
          </w:p>
        </w:tc>
      </w:tr>
      <w:tr>
        <w:tc>
          <w:tcPr>
            <w:tcW w:type="dxa" w:w="2900"/>
            <w:tcMar>
              <w:top w:type="dxa" w:w="80"/>
              <w:left w:type="dxa" w:w="120"/>
              <w:bottom w:type="dxa" w:w="80"/>
              <w:right w:type="dxa" w:w="120"/>
            </w:tcMar>
            <w:vAlign w:val="center"/>
          </w:tcPr>
          <w:p>
            <w:r>
              <w:rPr>
                <w:b w:val="false"/>
                <w:bCs w:val="false"/>
                <w:color w:val="000000"/>
                <w:sz w:val="19"/>
                <w:szCs w:val="19"/>
              </w:rPr>
              <w:t xml:space="preserve">order_date</w:t>
            </w:r>
          </w:p>
        </w:tc>
        <w:tc>
          <w:tcPr>
            <w:tcW w:type="dxa" w:w="1300"/>
            <w:tcMar>
              <w:top w:type="dxa" w:w="80"/>
              <w:left w:type="dxa" w:w="120"/>
              <w:bottom w:type="dxa" w:w="80"/>
              <w:right w:type="dxa" w:w="120"/>
            </w:tcMar>
            <w:vAlign w:val="center"/>
          </w:tcPr>
          <w:p>
            <w:r>
              <w:rPr>
                <w:b w:val="false"/>
                <w:bCs w:val="false"/>
                <w:color w:val="000000"/>
                <w:sz w:val="19"/>
                <w:szCs w:val="19"/>
              </w:rPr>
              <w:t xml:space="preserve">Date</w:t>
            </w:r>
          </w:p>
        </w:tc>
        <w:tc>
          <w:tcPr>
            <w:tcW w:type="dxa" w:w="4800"/>
            <w:tcMar>
              <w:top w:type="dxa" w:w="80"/>
              <w:left w:type="dxa" w:w="120"/>
              <w:bottom w:type="dxa" w:w="80"/>
              <w:right w:type="dxa" w:w="120"/>
            </w:tcMar>
            <w:vAlign w:val="center"/>
          </w:tcPr>
          <w:p>
            <w:r>
              <w:rPr>
                <w:b w:val="false"/>
                <w:bCs w:val="false"/>
                <w:color w:val="000000"/>
                <w:sz w:val="19"/>
                <w:szCs w:val="19"/>
              </w:rPr>
              <w:t xml:space="preserve">Date the order was placed</w:t>
            </w:r>
          </w:p>
        </w:tc>
      </w:tr>
      <w:tr>
        <w:tc>
          <w:tcPr>
            <w:tcW w:type="dxa" w:w="2900"/>
            <w:tcMar>
              <w:top w:type="dxa" w:w="80"/>
              <w:left w:type="dxa" w:w="120"/>
              <w:bottom w:type="dxa" w:w="80"/>
              <w:right w:type="dxa" w:w="120"/>
            </w:tcMar>
            <w:vAlign w:val="center"/>
          </w:tcPr>
          <w:p>
            <w:r>
              <w:rPr>
                <w:b w:val="false"/>
                <w:bCs w:val="false"/>
                <w:color w:val="000000"/>
                <w:sz w:val="19"/>
                <w:szCs w:val="19"/>
              </w:rPr>
              <w:t xml:space="preserve">scheduled_shipping_days</w:t>
            </w:r>
          </w:p>
        </w:tc>
        <w:tc>
          <w:tcPr>
            <w:tcW w:type="dxa" w:w="1300"/>
            <w:tcMar>
              <w:top w:type="dxa" w:w="80"/>
              <w:left w:type="dxa" w:w="120"/>
              <w:bottom w:type="dxa" w:w="80"/>
              <w:right w:type="dxa" w:w="120"/>
            </w:tcMar>
            <w:vAlign w:val="center"/>
          </w:tcPr>
          <w:p>
            <w:r>
              <w:rPr>
                <w:b w:val="false"/>
                <w:bCs w:val="false"/>
                <w:color w:val="000000"/>
                <w:sz w:val="19"/>
                <w:szCs w:val="19"/>
              </w:rPr>
              <w:t xml:space="preserve">Integer</w:t>
            </w:r>
          </w:p>
        </w:tc>
        <w:tc>
          <w:tcPr>
            <w:tcW w:type="dxa" w:w="4800"/>
            <w:tcMar>
              <w:top w:type="dxa" w:w="80"/>
              <w:left w:type="dxa" w:w="120"/>
              <w:bottom w:type="dxa" w:w="80"/>
              <w:right w:type="dxa" w:w="120"/>
            </w:tcMar>
            <w:vAlign w:val="center"/>
          </w:tcPr>
          <w:p>
            <w:r>
              <w:rPr>
                <w:b w:val="false"/>
                <w:bCs w:val="false"/>
                <w:color w:val="000000"/>
                <w:sz w:val="19"/>
                <w:szCs w:val="19"/>
              </w:rPr>
              <w:t xml:space="preserve">Shipping duration promised to the customer</w:t>
            </w:r>
          </w:p>
        </w:tc>
      </w:tr>
      <w:tr>
        <w:tc>
          <w:tcPr>
            <w:tcW w:type="dxa" w:w="2900"/>
            <w:tcMar>
              <w:top w:type="dxa" w:w="80"/>
              <w:left w:type="dxa" w:w="120"/>
              <w:bottom w:type="dxa" w:w="80"/>
              <w:right w:type="dxa" w:w="120"/>
            </w:tcMar>
            <w:vAlign w:val="center"/>
          </w:tcPr>
          <w:p>
            <w:r>
              <w:rPr>
                <w:b w:val="false"/>
                <w:bCs w:val="false"/>
                <w:color w:val="000000"/>
                <w:sz w:val="19"/>
                <w:szCs w:val="19"/>
              </w:rPr>
              <w:t xml:space="preserve">actual_shipping_days</w:t>
            </w:r>
          </w:p>
        </w:tc>
        <w:tc>
          <w:tcPr>
            <w:tcW w:type="dxa" w:w="1300"/>
            <w:tcMar>
              <w:top w:type="dxa" w:w="80"/>
              <w:left w:type="dxa" w:w="120"/>
              <w:bottom w:type="dxa" w:w="80"/>
              <w:right w:type="dxa" w:w="120"/>
            </w:tcMar>
            <w:vAlign w:val="center"/>
          </w:tcPr>
          <w:p>
            <w:r>
              <w:rPr>
                <w:b w:val="false"/>
                <w:bCs w:val="false"/>
                <w:color w:val="000000"/>
                <w:sz w:val="19"/>
                <w:szCs w:val="19"/>
              </w:rPr>
              <w:t xml:space="preserve">Integer</w:t>
            </w:r>
          </w:p>
        </w:tc>
        <w:tc>
          <w:tcPr>
            <w:tcW w:type="dxa" w:w="4800"/>
            <w:tcMar>
              <w:top w:type="dxa" w:w="80"/>
              <w:left w:type="dxa" w:w="120"/>
              <w:bottom w:type="dxa" w:w="80"/>
              <w:right w:type="dxa" w:w="120"/>
            </w:tcMar>
            <w:vAlign w:val="center"/>
          </w:tcPr>
          <w:p>
            <w:r>
              <w:rPr>
                <w:b w:val="false"/>
                <w:bCs w:val="false"/>
                <w:color w:val="000000"/>
                <w:sz w:val="19"/>
                <w:szCs w:val="19"/>
              </w:rPr>
              <w:t xml:space="preserve">Shipping duration actually taken</w:t>
            </w:r>
          </w:p>
        </w:tc>
      </w:tr>
      <w:tr>
        <w:tc>
          <w:tcPr>
            <w:tcW w:type="dxa" w:w="2900"/>
            <w:tcMar>
              <w:top w:type="dxa" w:w="80"/>
              <w:left w:type="dxa" w:w="120"/>
              <w:bottom w:type="dxa" w:w="80"/>
              <w:right w:type="dxa" w:w="120"/>
            </w:tcMar>
            <w:vAlign w:val="center"/>
          </w:tcPr>
          <w:p>
            <w:r>
              <w:rPr>
                <w:b w:val="false"/>
                <w:bCs w:val="false"/>
                <w:color w:val="000000"/>
                <w:sz w:val="19"/>
                <w:szCs w:val="19"/>
              </w:rPr>
              <w:t xml:space="preserve">shipping_date</w:t>
            </w:r>
          </w:p>
        </w:tc>
        <w:tc>
          <w:tcPr>
            <w:tcW w:type="dxa" w:w="1300"/>
            <w:tcMar>
              <w:top w:type="dxa" w:w="80"/>
              <w:left w:type="dxa" w:w="120"/>
              <w:bottom w:type="dxa" w:w="80"/>
              <w:right w:type="dxa" w:w="120"/>
            </w:tcMar>
            <w:vAlign w:val="center"/>
          </w:tcPr>
          <w:p>
            <w:r>
              <w:rPr>
                <w:b w:val="false"/>
                <w:bCs w:val="false"/>
                <w:color w:val="000000"/>
                <w:sz w:val="19"/>
                <w:szCs w:val="19"/>
              </w:rPr>
              <w:t xml:space="preserve">Date</w:t>
            </w:r>
          </w:p>
        </w:tc>
        <w:tc>
          <w:tcPr>
            <w:tcW w:type="dxa" w:w="4800"/>
            <w:tcMar>
              <w:top w:type="dxa" w:w="80"/>
              <w:left w:type="dxa" w:w="120"/>
              <w:bottom w:type="dxa" w:w="80"/>
              <w:right w:type="dxa" w:w="120"/>
            </w:tcMar>
            <w:vAlign w:val="center"/>
          </w:tcPr>
          <w:p>
            <w:r>
              <w:rPr>
                <w:b w:val="false"/>
                <w:bCs w:val="false"/>
                <w:color w:val="000000"/>
                <w:sz w:val="19"/>
                <w:szCs w:val="19"/>
              </w:rPr>
              <w:t xml:space="preserve">Date the order was delivered</w:t>
            </w:r>
          </w:p>
        </w:tc>
      </w:tr>
      <w:tr>
        <w:tc>
          <w:tcPr>
            <w:tcW w:type="dxa" w:w="2900"/>
            <w:tcMar>
              <w:top w:type="dxa" w:w="80"/>
              <w:left w:type="dxa" w:w="120"/>
              <w:bottom w:type="dxa" w:w="80"/>
              <w:right w:type="dxa" w:w="120"/>
            </w:tcMar>
            <w:vAlign w:val="center"/>
          </w:tcPr>
          <w:p>
            <w:r>
              <w:rPr>
                <w:b w:val="false"/>
                <w:bCs w:val="false"/>
                <w:color w:val="000000"/>
                <w:sz w:val="19"/>
                <w:szCs w:val="19"/>
              </w:rPr>
              <w:t xml:space="preserve">shipping_mode</w:t>
            </w:r>
          </w:p>
        </w:tc>
        <w:tc>
          <w:tcPr>
            <w:tcW w:type="dxa" w:w="1300"/>
            <w:tcMar>
              <w:top w:type="dxa" w:w="80"/>
              <w:left w:type="dxa" w:w="120"/>
              <w:bottom w:type="dxa" w:w="80"/>
              <w:right w:type="dxa" w:w="120"/>
            </w:tcMar>
            <w:vAlign w:val="center"/>
          </w:tcPr>
          <w:p>
            <w:r>
              <w:rPr>
                <w:b w:val="false"/>
                <w:bCs w:val="false"/>
                <w:color w:val="000000"/>
                <w:sz w:val="19"/>
                <w:szCs w:val="19"/>
              </w:rPr>
              <w:t xml:space="preserve">Categorical</w:t>
            </w:r>
          </w:p>
        </w:tc>
        <w:tc>
          <w:tcPr>
            <w:tcW w:type="dxa" w:w="4800"/>
            <w:tcMar>
              <w:top w:type="dxa" w:w="80"/>
              <w:left w:type="dxa" w:w="120"/>
              <w:bottom w:type="dxa" w:w="80"/>
              <w:right w:type="dxa" w:w="120"/>
            </w:tcMar>
            <w:vAlign w:val="center"/>
          </w:tcPr>
          <w:p>
            <w:r>
              <w:rPr>
                <w:b w:val="false"/>
                <w:bCs w:val="false"/>
                <w:color w:val="000000"/>
                <w:sz w:val="19"/>
                <w:szCs w:val="19"/>
              </w:rPr>
              <w:t xml:space="preserve">Standard / First / Second Class / Same Day</w:t>
            </w:r>
          </w:p>
        </w:tc>
      </w:tr>
      <w:tr>
        <w:tc>
          <w:tcPr>
            <w:tcW w:type="dxa" w:w="2900"/>
            <w:tcMar>
              <w:top w:type="dxa" w:w="80"/>
              <w:left w:type="dxa" w:w="120"/>
              <w:bottom w:type="dxa" w:w="80"/>
              <w:right w:type="dxa" w:w="120"/>
            </w:tcMar>
            <w:vAlign w:val="center"/>
          </w:tcPr>
          <w:p>
            <w:r>
              <w:rPr>
                <w:b w:val="false"/>
                <w:bCs w:val="false"/>
                <w:color w:val="000000"/>
                <w:sz w:val="19"/>
                <w:szCs w:val="19"/>
              </w:rPr>
              <w:t xml:space="preserve">market</w:t>
            </w:r>
          </w:p>
        </w:tc>
        <w:tc>
          <w:tcPr>
            <w:tcW w:type="dxa" w:w="1300"/>
            <w:tcMar>
              <w:top w:type="dxa" w:w="80"/>
              <w:left w:type="dxa" w:w="120"/>
              <w:bottom w:type="dxa" w:w="80"/>
              <w:right w:type="dxa" w:w="120"/>
            </w:tcMar>
            <w:vAlign w:val="center"/>
          </w:tcPr>
          <w:p>
            <w:r>
              <w:rPr>
                <w:b w:val="false"/>
                <w:bCs w:val="false"/>
                <w:color w:val="000000"/>
                <w:sz w:val="19"/>
                <w:szCs w:val="19"/>
              </w:rPr>
              <w:t xml:space="preserve">Categorical</w:t>
            </w:r>
          </w:p>
        </w:tc>
        <w:tc>
          <w:tcPr>
            <w:tcW w:type="dxa" w:w="4800"/>
            <w:tcMar>
              <w:top w:type="dxa" w:w="80"/>
              <w:left w:type="dxa" w:w="120"/>
              <w:bottom w:type="dxa" w:w="80"/>
              <w:right w:type="dxa" w:w="120"/>
            </w:tcMar>
            <w:vAlign w:val="center"/>
          </w:tcPr>
          <w:p>
            <w:r>
              <w:rPr>
                <w:b w:val="false"/>
                <w:bCs w:val="false"/>
                <w:color w:val="000000"/>
                <w:sz w:val="19"/>
                <w:szCs w:val="19"/>
              </w:rPr>
              <w:t xml:space="preserve">Global market region (LATAM, Europe, Pacific Asia, USCA, Africa)</w:t>
            </w:r>
          </w:p>
        </w:tc>
      </w:tr>
      <w:tr>
        <w:tc>
          <w:tcPr>
            <w:tcW w:type="dxa" w:w="2900"/>
            <w:tcMar>
              <w:top w:type="dxa" w:w="80"/>
              <w:left w:type="dxa" w:w="120"/>
              <w:bottom w:type="dxa" w:w="80"/>
              <w:right w:type="dxa" w:w="120"/>
            </w:tcMar>
            <w:vAlign w:val="center"/>
          </w:tcPr>
          <w:p>
            <w:r>
              <w:rPr>
                <w:b w:val="false"/>
                <w:bCs w:val="false"/>
                <w:color w:val="000000"/>
                <w:sz w:val="19"/>
                <w:szCs w:val="19"/>
              </w:rPr>
              <w:t xml:space="preserve">order_country</w:t>
            </w:r>
          </w:p>
        </w:tc>
        <w:tc>
          <w:tcPr>
            <w:tcW w:type="dxa" w:w="1300"/>
            <w:tcMar>
              <w:top w:type="dxa" w:w="80"/>
              <w:left w:type="dxa" w:w="120"/>
              <w:bottom w:type="dxa" w:w="80"/>
              <w:right w:type="dxa" w:w="120"/>
            </w:tcMar>
            <w:vAlign w:val="center"/>
          </w:tcPr>
          <w:p>
            <w:r>
              <w:rPr>
                <w:b w:val="false"/>
                <w:bCs w:val="false"/>
                <w:color w:val="000000"/>
                <w:sz w:val="19"/>
                <w:szCs w:val="19"/>
              </w:rPr>
              <w:t xml:space="preserve">Categorical</w:t>
            </w:r>
          </w:p>
        </w:tc>
        <w:tc>
          <w:tcPr>
            <w:tcW w:type="dxa" w:w="4800"/>
            <w:tcMar>
              <w:top w:type="dxa" w:w="80"/>
              <w:left w:type="dxa" w:w="120"/>
              <w:bottom w:type="dxa" w:w="80"/>
              <w:right w:type="dxa" w:w="120"/>
            </w:tcMar>
            <w:vAlign w:val="center"/>
          </w:tcPr>
          <w:p>
            <w:r>
              <w:rPr>
                <w:b w:val="false"/>
                <w:bCs w:val="false"/>
                <w:color w:val="000000"/>
                <w:sz w:val="19"/>
                <w:szCs w:val="19"/>
              </w:rPr>
              <w:t xml:space="preserve">Destination country for the order</w:t>
            </w:r>
          </w:p>
        </w:tc>
      </w:tr>
      <w:tr>
        <w:tc>
          <w:tcPr>
            <w:tcW w:type="dxa" w:w="2900"/>
            <w:tcMar>
              <w:top w:type="dxa" w:w="80"/>
              <w:left w:type="dxa" w:w="120"/>
              <w:bottom w:type="dxa" w:w="80"/>
              <w:right w:type="dxa" w:w="120"/>
            </w:tcMar>
            <w:vAlign w:val="center"/>
          </w:tcPr>
          <w:p>
            <w:r>
              <w:rPr>
                <w:b w:val="false"/>
                <w:bCs w:val="false"/>
                <w:color w:val="000000"/>
                <w:sz w:val="19"/>
                <w:szCs w:val="19"/>
              </w:rPr>
              <w:t xml:space="preserve">customer_segment</w:t>
            </w:r>
          </w:p>
        </w:tc>
        <w:tc>
          <w:tcPr>
            <w:tcW w:type="dxa" w:w="1300"/>
            <w:tcMar>
              <w:top w:type="dxa" w:w="80"/>
              <w:left w:type="dxa" w:w="120"/>
              <w:bottom w:type="dxa" w:w="80"/>
              <w:right w:type="dxa" w:w="120"/>
            </w:tcMar>
            <w:vAlign w:val="center"/>
          </w:tcPr>
          <w:p>
            <w:r>
              <w:rPr>
                <w:b w:val="false"/>
                <w:bCs w:val="false"/>
                <w:color w:val="000000"/>
                <w:sz w:val="19"/>
                <w:szCs w:val="19"/>
              </w:rPr>
              <w:t xml:space="preserve">Categorical</w:t>
            </w:r>
          </w:p>
        </w:tc>
        <w:tc>
          <w:tcPr>
            <w:tcW w:type="dxa" w:w="4800"/>
            <w:tcMar>
              <w:top w:type="dxa" w:w="80"/>
              <w:left w:type="dxa" w:w="120"/>
              <w:bottom w:type="dxa" w:w="80"/>
              <w:right w:type="dxa" w:w="120"/>
            </w:tcMar>
            <w:vAlign w:val="center"/>
          </w:tcPr>
          <w:p>
            <w:r>
              <w:rPr>
                <w:b w:val="false"/>
                <w:bCs w:val="false"/>
                <w:color w:val="000000"/>
                <w:sz w:val="19"/>
                <w:szCs w:val="19"/>
              </w:rPr>
              <w:t xml:space="preserve">Consumer / Corporate / Home Office</w:t>
            </w:r>
          </w:p>
        </w:tc>
      </w:tr>
      <w:tr>
        <w:tc>
          <w:tcPr>
            <w:tcW w:type="dxa" w:w="2900"/>
            <w:tcMar>
              <w:top w:type="dxa" w:w="80"/>
              <w:left w:type="dxa" w:w="120"/>
              <w:bottom w:type="dxa" w:w="80"/>
              <w:right w:type="dxa" w:w="120"/>
            </w:tcMar>
            <w:vAlign w:val="center"/>
          </w:tcPr>
          <w:p>
            <w:r>
              <w:rPr>
                <w:b w:val="false"/>
                <w:bCs w:val="false"/>
                <w:color w:val="000000"/>
                <w:sz w:val="19"/>
                <w:szCs w:val="19"/>
              </w:rPr>
              <w:t xml:space="preserve">category_name</w:t>
            </w:r>
          </w:p>
        </w:tc>
        <w:tc>
          <w:tcPr>
            <w:tcW w:type="dxa" w:w="1300"/>
            <w:tcMar>
              <w:top w:type="dxa" w:w="80"/>
              <w:left w:type="dxa" w:w="120"/>
              <w:bottom w:type="dxa" w:w="80"/>
              <w:right w:type="dxa" w:w="120"/>
            </w:tcMar>
            <w:vAlign w:val="center"/>
          </w:tcPr>
          <w:p>
            <w:r>
              <w:rPr>
                <w:b w:val="false"/>
                <w:bCs w:val="false"/>
                <w:color w:val="000000"/>
                <w:sz w:val="19"/>
                <w:szCs w:val="19"/>
              </w:rPr>
              <w:t xml:space="preserve">Categorical</w:t>
            </w:r>
          </w:p>
        </w:tc>
        <w:tc>
          <w:tcPr>
            <w:tcW w:type="dxa" w:w="4800"/>
            <w:tcMar>
              <w:top w:type="dxa" w:w="80"/>
              <w:left w:type="dxa" w:w="120"/>
              <w:bottom w:type="dxa" w:w="80"/>
              <w:right w:type="dxa" w:w="120"/>
            </w:tcMar>
            <w:vAlign w:val="center"/>
          </w:tcPr>
          <w:p>
            <w:r>
              <w:rPr>
                <w:b w:val="false"/>
                <w:bCs w:val="false"/>
                <w:color w:val="000000"/>
                <w:sz w:val="19"/>
                <w:szCs w:val="19"/>
              </w:rPr>
              <w:t xml:space="preserve">Product category</w:t>
            </w:r>
          </w:p>
        </w:tc>
      </w:tr>
      <w:tr>
        <w:tc>
          <w:tcPr>
            <w:tcW w:type="dxa" w:w="2900"/>
            <w:tcMar>
              <w:top w:type="dxa" w:w="80"/>
              <w:left w:type="dxa" w:w="120"/>
              <w:bottom w:type="dxa" w:w="80"/>
              <w:right w:type="dxa" w:w="120"/>
            </w:tcMar>
            <w:vAlign w:val="center"/>
          </w:tcPr>
          <w:p>
            <w:r>
              <w:rPr>
                <w:b w:val="false"/>
                <w:bCs w:val="false"/>
                <w:color w:val="000000"/>
                <w:sz w:val="19"/>
                <w:szCs w:val="19"/>
              </w:rPr>
              <w:t xml:space="preserve">order_item_quantity</w:t>
            </w:r>
          </w:p>
        </w:tc>
        <w:tc>
          <w:tcPr>
            <w:tcW w:type="dxa" w:w="1300"/>
            <w:tcMar>
              <w:top w:type="dxa" w:w="80"/>
              <w:left w:type="dxa" w:w="120"/>
              <w:bottom w:type="dxa" w:w="80"/>
              <w:right w:type="dxa" w:w="120"/>
            </w:tcMar>
            <w:vAlign w:val="center"/>
          </w:tcPr>
          <w:p>
            <w:r>
              <w:rPr>
                <w:b w:val="false"/>
                <w:bCs w:val="false"/>
                <w:color w:val="000000"/>
                <w:sz w:val="19"/>
                <w:szCs w:val="19"/>
              </w:rPr>
              <w:t xml:space="preserve">Integer</w:t>
            </w:r>
          </w:p>
        </w:tc>
        <w:tc>
          <w:tcPr>
            <w:tcW w:type="dxa" w:w="4800"/>
            <w:tcMar>
              <w:top w:type="dxa" w:w="80"/>
              <w:left w:type="dxa" w:w="120"/>
              <w:bottom w:type="dxa" w:w="80"/>
              <w:right w:type="dxa" w:w="120"/>
            </w:tcMar>
            <w:vAlign w:val="center"/>
          </w:tcPr>
          <w:p>
            <w:r>
              <w:rPr>
                <w:b w:val="false"/>
                <w:bCs w:val="false"/>
                <w:color w:val="000000"/>
                <w:sz w:val="19"/>
                <w:szCs w:val="19"/>
              </w:rPr>
              <w:t xml:space="preserve">Units ordered</w:t>
            </w:r>
          </w:p>
        </w:tc>
      </w:tr>
      <w:tr>
        <w:tc>
          <w:tcPr>
            <w:tcW w:type="dxa" w:w="2900"/>
            <w:tcMar>
              <w:top w:type="dxa" w:w="80"/>
              <w:left w:type="dxa" w:w="120"/>
              <w:bottom w:type="dxa" w:w="80"/>
              <w:right w:type="dxa" w:w="120"/>
            </w:tcMar>
            <w:vAlign w:val="center"/>
          </w:tcPr>
          <w:p>
            <w:r>
              <w:rPr>
                <w:b w:val="false"/>
                <w:bCs w:val="false"/>
                <w:color w:val="000000"/>
                <w:sz w:val="19"/>
                <w:szCs w:val="19"/>
              </w:rPr>
              <w:t xml:space="preserve">sales</w:t>
            </w:r>
          </w:p>
        </w:tc>
        <w:tc>
          <w:tcPr>
            <w:tcW w:type="dxa" w:w="1300"/>
            <w:tcMar>
              <w:top w:type="dxa" w:w="80"/>
              <w:left w:type="dxa" w:w="120"/>
              <w:bottom w:type="dxa" w:w="80"/>
              <w:right w:type="dxa" w:w="120"/>
            </w:tcMar>
            <w:vAlign w:val="center"/>
          </w:tcPr>
          <w:p>
            <w:r>
              <w:rPr>
                <w:b w:val="false"/>
                <w:bCs w:val="false"/>
                <w:color w:val="000000"/>
                <w:sz w:val="19"/>
                <w:szCs w:val="19"/>
              </w:rPr>
              <w:t xml:space="preserve">Numeric (USD)</w:t>
            </w:r>
          </w:p>
        </w:tc>
        <w:tc>
          <w:tcPr>
            <w:tcW w:type="dxa" w:w="4800"/>
            <w:tcMar>
              <w:top w:type="dxa" w:w="80"/>
              <w:left w:type="dxa" w:w="120"/>
              <w:bottom w:type="dxa" w:w="80"/>
              <w:right w:type="dxa" w:w="120"/>
            </w:tcMar>
            <w:vAlign w:val="center"/>
          </w:tcPr>
          <w:p>
            <w:r>
              <w:rPr>
                <w:b w:val="false"/>
                <w:bCs w:val="false"/>
                <w:color w:val="000000"/>
                <w:sz w:val="19"/>
                <w:szCs w:val="19"/>
              </w:rPr>
              <w:t xml:space="preserve">Order value</w:t>
            </w:r>
          </w:p>
        </w:tc>
      </w:tr>
      <w:tr>
        <w:tc>
          <w:tcPr>
            <w:tcW w:type="dxa" w:w="2900"/>
            <w:tcMar>
              <w:top w:type="dxa" w:w="80"/>
              <w:left w:type="dxa" w:w="120"/>
              <w:bottom w:type="dxa" w:w="80"/>
              <w:right w:type="dxa" w:w="120"/>
            </w:tcMar>
            <w:vAlign w:val="center"/>
          </w:tcPr>
          <w:p>
            <w:r>
              <w:rPr>
                <w:b w:val="false"/>
                <w:bCs w:val="false"/>
                <w:color w:val="000000"/>
                <w:sz w:val="19"/>
                <w:szCs w:val="19"/>
              </w:rPr>
              <w:t xml:space="preserve">benefit_per_order</w:t>
            </w:r>
          </w:p>
        </w:tc>
        <w:tc>
          <w:tcPr>
            <w:tcW w:type="dxa" w:w="1300"/>
            <w:tcMar>
              <w:top w:type="dxa" w:w="80"/>
              <w:left w:type="dxa" w:w="120"/>
              <w:bottom w:type="dxa" w:w="80"/>
              <w:right w:type="dxa" w:w="120"/>
            </w:tcMar>
            <w:vAlign w:val="center"/>
          </w:tcPr>
          <w:p>
            <w:r>
              <w:rPr>
                <w:b w:val="false"/>
                <w:bCs w:val="false"/>
                <w:color w:val="000000"/>
                <w:sz w:val="19"/>
                <w:szCs w:val="19"/>
              </w:rPr>
              <w:t xml:space="preserve">Numeric (USD)</w:t>
            </w:r>
          </w:p>
        </w:tc>
        <w:tc>
          <w:tcPr>
            <w:tcW w:type="dxa" w:w="4800"/>
            <w:tcMar>
              <w:top w:type="dxa" w:w="80"/>
              <w:left w:type="dxa" w:w="120"/>
              <w:bottom w:type="dxa" w:w="80"/>
              <w:right w:type="dxa" w:w="120"/>
            </w:tcMar>
            <w:vAlign w:val="center"/>
          </w:tcPr>
          <w:p>
            <w:r>
              <w:rPr>
                <w:b w:val="false"/>
                <w:bCs w:val="false"/>
                <w:color w:val="000000"/>
                <w:sz w:val="19"/>
                <w:szCs w:val="19"/>
              </w:rPr>
              <w:t xml:space="preserve">Profit margin on the order</w:t>
            </w:r>
          </w:p>
        </w:tc>
      </w:tr>
      <w:tr>
        <w:tc>
          <w:tcPr>
            <w:tcW w:type="dxa" w:w="2900"/>
            <w:tcMar>
              <w:top w:type="dxa" w:w="80"/>
              <w:left w:type="dxa" w:w="120"/>
              <w:bottom w:type="dxa" w:w="80"/>
              <w:right w:type="dxa" w:w="120"/>
            </w:tcMar>
            <w:vAlign w:val="center"/>
          </w:tcPr>
          <w:p>
            <w:r>
              <w:rPr>
                <w:b w:val="false"/>
                <w:bCs w:val="false"/>
                <w:color w:val="000000"/>
                <w:sz w:val="19"/>
                <w:szCs w:val="19"/>
              </w:rPr>
              <w:t xml:space="preserve">order_status</w:t>
            </w:r>
          </w:p>
        </w:tc>
        <w:tc>
          <w:tcPr>
            <w:tcW w:type="dxa" w:w="1300"/>
            <w:tcMar>
              <w:top w:type="dxa" w:w="80"/>
              <w:left w:type="dxa" w:w="120"/>
              <w:bottom w:type="dxa" w:w="80"/>
              <w:right w:type="dxa" w:w="120"/>
            </w:tcMar>
            <w:vAlign w:val="center"/>
          </w:tcPr>
          <w:p>
            <w:r>
              <w:rPr>
                <w:b w:val="false"/>
                <w:bCs w:val="false"/>
                <w:color w:val="000000"/>
                <w:sz w:val="19"/>
                <w:szCs w:val="19"/>
              </w:rPr>
              <w:t xml:space="preserve">Categorical</w:t>
            </w:r>
          </w:p>
        </w:tc>
        <w:tc>
          <w:tcPr>
            <w:tcW w:type="dxa" w:w="4800"/>
            <w:tcMar>
              <w:top w:type="dxa" w:w="80"/>
              <w:left w:type="dxa" w:w="120"/>
              <w:bottom w:type="dxa" w:w="80"/>
              <w:right w:type="dxa" w:w="120"/>
            </w:tcMar>
            <w:vAlign w:val="center"/>
          </w:tcPr>
          <w:p>
            <w:r>
              <w:rPr>
                <w:b w:val="false"/>
                <w:bCs w:val="false"/>
                <w:color w:val="000000"/>
                <w:sz w:val="19"/>
                <w:szCs w:val="19"/>
              </w:rPr>
              <w:t xml:space="preserve">Order lifecycle status (COMPLETE, PENDING, CANCELED, ...)</w:t>
            </w:r>
          </w:p>
        </w:tc>
      </w:tr>
      <w:tr>
        <w:tc>
          <w:tcPr>
            <w:tcW w:type="dxa" w:w="2900"/>
            <w:tcMar>
              <w:top w:type="dxa" w:w="80"/>
              <w:left w:type="dxa" w:w="120"/>
              <w:bottom w:type="dxa" w:w="80"/>
              <w:right w:type="dxa" w:w="120"/>
            </w:tcMar>
            <w:vAlign w:val="center"/>
          </w:tcPr>
          <w:p>
            <w:r>
              <w:rPr>
                <w:b w:val="false"/>
                <w:bCs w:val="false"/>
                <w:color w:val="000000"/>
                <w:sz w:val="19"/>
                <w:szCs w:val="19"/>
              </w:rPr>
              <w:t xml:space="preserve">customer_zipcode</w:t>
            </w:r>
          </w:p>
        </w:tc>
        <w:tc>
          <w:tcPr>
            <w:tcW w:type="dxa" w:w="1300"/>
            <w:tcMar>
              <w:top w:type="dxa" w:w="80"/>
              <w:left w:type="dxa" w:w="120"/>
              <w:bottom w:type="dxa" w:w="80"/>
              <w:right w:type="dxa" w:w="120"/>
            </w:tcMar>
            <w:vAlign w:val="center"/>
          </w:tcPr>
          <w:p>
            <w:r>
              <w:rPr>
                <w:b w:val="false"/>
                <w:bCs w:val="false"/>
                <w:color w:val="000000"/>
                <w:sz w:val="19"/>
                <w:szCs w:val="19"/>
              </w:rPr>
              <w:t xml:space="preserve">Numeric</w:t>
            </w:r>
          </w:p>
        </w:tc>
        <w:tc>
          <w:tcPr>
            <w:tcW w:type="dxa" w:w="4800"/>
            <w:tcMar>
              <w:top w:type="dxa" w:w="80"/>
              <w:left w:type="dxa" w:w="120"/>
              <w:bottom w:type="dxa" w:w="80"/>
              <w:right w:type="dxa" w:w="120"/>
            </w:tcMar>
            <w:vAlign w:val="center"/>
          </w:tcPr>
          <w:p>
            <w:r>
              <w:rPr>
                <w:b w:val="false"/>
                <w:bCs w:val="false"/>
                <w:color w:val="000000"/>
                <w:sz w:val="19"/>
                <w:szCs w:val="19"/>
              </w:rPr>
              <w:t xml:space="preserve">Customer's postal code</w:t>
            </w:r>
          </w:p>
        </w:tc>
      </w:tr>
      <w:tr>
        <w:tc>
          <w:tcPr>
            <w:tcW w:type="dxa" w:w="2900"/>
            <w:tcMar>
              <w:top w:type="dxa" w:w="80"/>
              <w:left w:type="dxa" w:w="120"/>
              <w:bottom w:type="dxa" w:w="80"/>
              <w:right w:type="dxa" w:w="120"/>
            </w:tcMar>
            <w:vAlign w:val="center"/>
          </w:tcPr>
          <w:p>
            <w:r>
              <w:rPr>
                <w:b w:val="false"/>
                <w:bCs w:val="false"/>
                <w:color w:val="000000"/>
                <w:sz w:val="19"/>
                <w:szCs w:val="19"/>
              </w:rPr>
              <w:t xml:space="preserve">order_zipcode</w:t>
            </w:r>
          </w:p>
        </w:tc>
        <w:tc>
          <w:tcPr>
            <w:tcW w:type="dxa" w:w="1300"/>
            <w:tcMar>
              <w:top w:type="dxa" w:w="80"/>
              <w:left w:type="dxa" w:w="120"/>
              <w:bottom w:type="dxa" w:w="80"/>
              <w:right w:type="dxa" w:w="120"/>
            </w:tcMar>
            <w:vAlign w:val="center"/>
          </w:tcPr>
          <w:p>
            <w:r>
              <w:rPr>
                <w:b w:val="false"/>
                <w:bCs w:val="false"/>
                <w:color w:val="000000"/>
                <w:sz w:val="19"/>
                <w:szCs w:val="19"/>
              </w:rPr>
              <w:t xml:space="preserve">Numeric</w:t>
            </w:r>
          </w:p>
        </w:tc>
        <w:tc>
          <w:tcPr>
            <w:tcW w:type="dxa" w:w="4800"/>
            <w:tcMar>
              <w:top w:type="dxa" w:w="80"/>
              <w:left w:type="dxa" w:w="120"/>
              <w:bottom w:type="dxa" w:w="80"/>
              <w:right w:type="dxa" w:w="120"/>
            </w:tcMar>
            <w:vAlign w:val="center"/>
          </w:tcPr>
          <w:p>
            <w:r>
              <w:rPr>
                <w:b w:val="false"/>
                <w:bCs w:val="false"/>
                <w:color w:val="000000"/>
                <w:sz w:val="19"/>
                <w:szCs w:val="19"/>
              </w:rPr>
              <w:t xml:space="preserve">Delivery postal code</w:t>
            </w:r>
          </w:p>
        </w:tc>
      </w:tr>
      <w:tr>
        <w:tc>
          <w:tcPr>
            <w:tcW w:type="dxa" w:w="2900"/>
            <w:tcMar>
              <w:top w:type="dxa" w:w="80"/>
              <w:left w:type="dxa" w:w="120"/>
              <w:bottom w:type="dxa" w:w="80"/>
              <w:right w:type="dxa" w:w="120"/>
            </w:tcMar>
            <w:vAlign w:val="center"/>
          </w:tcPr>
          <w:p>
            <w:r>
              <w:rPr>
                <w:b w:val="false"/>
                <w:bCs w:val="false"/>
                <w:color w:val="000000"/>
                <w:sz w:val="19"/>
                <w:szCs w:val="19"/>
              </w:rPr>
              <w:t xml:space="preserve">late_delivery_risk</w:t>
            </w:r>
          </w:p>
        </w:tc>
        <w:tc>
          <w:tcPr>
            <w:tcW w:type="dxa" w:w="1300"/>
            <w:tcMar>
              <w:top w:type="dxa" w:w="80"/>
              <w:left w:type="dxa" w:w="120"/>
              <w:bottom w:type="dxa" w:w="80"/>
              <w:right w:type="dxa" w:w="120"/>
            </w:tcMar>
            <w:vAlign w:val="center"/>
          </w:tcPr>
          <w:p>
            <w:r>
              <w:rPr>
                <w:b w:val="false"/>
                <w:bCs w:val="false"/>
                <w:color w:val="000000"/>
                <w:sz w:val="19"/>
                <w:szCs w:val="19"/>
              </w:rPr>
              <w:t xml:space="preserve">Binary</w:t>
            </w:r>
          </w:p>
        </w:tc>
        <w:tc>
          <w:tcPr>
            <w:tcW w:type="dxa" w:w="4800"/>
            <w:tcMar>
              <w:top w:type="dxa" w:w="80"/>
              <w:left w:type="dxa" w:w="120"/>
              <w:bottom w:type="dxa" w:w="80"/>
              <w:right w:type="dxa" w:w="120"/>
            </w:tcMar>
            <w:vAlign w:val="center"/>
          </w:tcPr>
          <w:p>
            <w:r>
              <w:rPr>
                <w:b w:val="false"/>
                <w:bCs w:val="false"/>
                <w:color w:val="000000"/>
                <w:sz w:val="19"/>
                <w:szCs w:val="19"/>
              </w:rPr>
              <w:t xml:space="preserve">1 if actual shipping days exceeded the scheduled days</w:t>
            </w:r>
          </w:p>
        </w:tc>
      </w:tr>
    </w:tbl>
    <w:p>
      <w:pPr>
        <w:spacing w:after="300"/>
      </w:pPr>
    </w:p>
    <w:p>
      <w:pPr>
        <w:pStyle w:val="Heading1"/>
      </w:pPr>
      <w:r>
        <w:t xml:space="preserve">3. Data Quality Issues Identified</w:t>
      </w:r>
    </w:p>
    <w:p>
      <w:pPr>
        <w:spacing w:after="200" w:line="300"/>
      </w:pPr>
      <w:r>
        <w:rPr>
          <w:b w:val="false"/>
          <w:bCs w:val="false"/>
          <w:i w:val="false"/>
          <w:iCs w:val="false"/>
        </w:rPr>
        <w:t xml:space="preserve">An initial inspection of the raw 4,080-row working sample (df.shape, df.isnull().sum(), df.duplicated().sum()) surfaced ten distinct issues across four categories, summarized below with their exact counts.</w:t>
      </w:r>
    </w:p>
    <w:p>
      <w:pPr>
        <w:spacing w:after="240" w:before="80"/>
      </w:pPr>
      <w:r>
        <w:rPr>
          <w:i/>
          <w:iCs/>
          <w:color w:val="595959"/>
          <w:sz w:val="19"/>
          <w:szCs w:val="19"/>
        </w:rPr>
        <w:t xml:space="preserve">Table 2. Data quality issues identified in the raw working sample.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1600"/>
        <w:gridCol w:w="3600"/>
      </w:tblGrid>
      <w:tr>
        <w:trPr>
          <w:tblHeader/>
        </w:trPr>
        <w:tc>
          <w:tcPr>
            <w:tcW w:type="dxa" w:w="1500"/>
            <w:shd w:fill="1F4E78" w:color="auto" w:val="clear"/>
            <w:tcMar>
              <w:top w:type="dxa" w:w="80"/>
              <w:left w:type="dxa" w:w="120"/>
              <w:bottom w:type="dxa" w:w="80"/>
              <w:right w:type="dxa" w:w="120"/>
            </w:tcMar>
            <w:vAlign w:val="center"/>
          </w:tcPr>
          <w:p>
            <w:r>
              <w:rPr>
                <w:b/>
                <w:bCs/>
                <w:color w:val="FFFFFF"/>
                <w:sz w:val="19"/>
                <w:szCs w:val="19"/>
              </w:rPr>
              <w:t xml:space="preserve">Issue Type</w:t>
            </w:r>
          </w:p>
        </w:tc>
        <w:tc>
          <w:tcPr>
            <w:tcW w:type="dxa" w:w="2300"/>
            <w:shd w:fill="1F4E78" w:color="auto" w:val="clear"/>
            <w:tcMar>
              <w:top w:type="dxa" w:w="80"/>
              <w:left w:type="dxa" w:w="120"/>
              <w:bottom w:type="dxa" w:w="80"/>
              <w:right w:type="dxa" w:w="120"/>
            </w:tcMar>
            <w:vAlign w:val="center"/>
          </w:tcPr>
          <w:p>
            <w:r>
              <w:rPr>
                <w:b/>
                <w:bCs/>
                <w:color w:val="FFFFFF"/>
                <w:sz w:val="19"/>
                <w:szCs w:val="19"/>
              </w:rPr>
              <w:t xml:space="preserve">Field(s)</w:t>
            </w:r>
          </w:p>
        </w:tc>
        <w:tc>
          <w:tcPr>
            <w:tcW w:type="dxa" w:w="1600"/>
            <w:shd w:fill="1F4E78" w:color="auto" w:val="clear"/>
            <w:tcMar>
              <w:top w:type="dxa" w:w="80"/>
              <w:left w:type="dxa" w:w="120"/>
              <w:bottom w:type="dxa" w:w="80"/>
              <w:right w:type="dxa" w:w="120"/>
            </w:tcMar>
            <w:vAlign w:val="center"/>
          </w:tcPr>
          <w:p>
            <w:r>
              <w:rPr>
                <w:b/>
                <w:bCs/>
                <w:color w:val="FFFFFF"/>
                <w:sz w:val="19"/>
                <w:szCs w:val="19"/>
              </w:rPr>
              <w:t xml:space="preserve">Count (Rate)</w:t>
            </w:r>
          </w:p>
        </w:tc>
        <w:tc>
          <w:tcPr>
            <w:tcW w:type="dxa" w:w="3600"/>
            <w:shd w:fill="1F4E78" w:color="auto" w:val="clear"/>
            <w:tcMar>
              <w:top w:type="dxa" w:w="80"/>
              <w:left w:type="dxa" w:w="120"/>
              <w:bottom w:type="dxa" w:w="80"/>
              <w:right w:type="dxa" w:w="120"/>
            </w:tcMar>
            <w:vAlign w:val="center"/>
          </w:tcPr>
          <w:p>
            <w:r>
              <w:rPr>
                <w:b/>
                <w:bCs/>
                <w:color w:val="FFFFFF"/>
                <w:sz w:val="19"/>
                <w:szCs w:val="19"/>
              </w:rPr>
              <w:t xml:space="preserve">Likely Cause</w:t>
            </w:r>
          </w:p>
        </w:tc>
      </w:tr>
      <w:tr>
        <w:tc>
          <w:tcPr>
            <w:tcW w:type="dxa" w:w="1500"/>
            <w:tcMar>
              <w:top w:type="dxa" w:w="80"/>
              <w:left w:type="dxa" w:w="120"/>
              <w:bottom w:type="dxa" w:w="80"/>
              <w:right w:type="dxa" w:w="120"/>
            </w:tcMar>
            <w:vAlign w:val="center"/>
          </w:tcPr>
          <w:p>
            <w:r>
              <w:rPr>
                <w:b w:val="false"/>
                <w:bCs w:val="false"/>
                <w:color w:val="000000"/>
                <w:sz w:val="19"/>
                <w:szCs w:val="19"/>
              </w:rPr>
              <w:t xml:space="preserve">Missing values</w:t>
            </w:r>
          </w:p>
        </w:tc>
        <w:tc>
          <w:tcPr>
            <w:tcW w:type="dxa" w:w="2300"/>
            <w:tcMar>
              <w:top w:type="dxa" w:w="80"/>
              <w:left w:type="dxa" w:w="120"/>
              <w:bottom w:type="dxa" w:w="80"/>
              <w:right w:type="dxa" w:w="120"/>
            </w:tcMar>
            <w:vAlign w:val="center"/>
          </w:tcPr>
          <w:p>
            <w:r>
              <w:rPr>
                <w:b w:val="false"/>
                <w:bCs w:val="false"/>
                <w:color w:val="000000"/>
                <w:sz w:val="19"/>
                <w:szCs w:val="19"/>
              </w:rPr>
              <w:t xml:space="preserve">order_zipcode</w:t>
            </w:r>
          </w:p>
        </w:tc>
        <w:tc>
          <w:tcPr>
            <w:tcW w:type="dxa" w:w="1600"/>
            <w:tcMar>
              <w:top w:type="dxa" w:w="80"/>
              <w:left w:type="dxa" w:w="120"/>
              <w:bottom w:type="dxa" w:w="80"/>
              <w:right w:type="dxa" w:w="120"/>
            </w:tcMar>
            <w:vAlign w:val="center"/>
          </w:tcPr>
          <w:p>
            <w:r>
              <w:rPr>
                <w:b w:val="false"/>
                <w:bCs w:val="false"/>
                <w:color w:val="000000"/>
                <w:sz w:val="19"/>
                <w:szCs w:val="19"/>
              </w:rPr>
              <w:t xml:space="preserve">1,685 (42.0%)</w:t>
            </w:r>
          </w:p>
        </w:tc>
        <w:tc>
          <w:tcPr>
            <w:tcW w:type="dxa" w:w="3600"/>
            <w:tcMar>
              <w:top w:type="dxa" w:w="80"/>
              <w:left w:type="dxa" w:w="120"/>
              <w:bottom w:type="dxa" w:w="80"/>
              <w:right w:type="dxa" w:w="120"/>
            </w:tcMar>
            <w:vAlign w:val="center"/>
          </w:tcPr>
          <w:p>
            <w:r>
              <w:rPr>
                <w:b w:val="false"/>
                <w:bCs w:val="false"/>
                <w:color w:val="000000"/>
                <w:sz w:val="19"/>
                <w:szCs w:val="19"/>
              </w:rPr>
              <w:t xml:space="preserve">No standardized postal system for many international orders</w:t>
            </w:r>
          </w:p>
        </w:tc>
      </w:tr>
      <w:tr>
        <w:tc>
          <w:tcPr>
            <w:tcW w:type="dxa" w:w="1500"/>
            <w:tcMar>
              <w:top w:type="dxa" w:w="80"/>
              <w:left w:type="dxa" w:w="120"/>
              <w:bottom w:type="dxa" w:w="80"/>
              <w:right w:type="dxa" w:w="120"/>
            </w:tcMar>
            <w:vAlign w:val="center"/>
          </w:tcPr>
          <w:p>
            <w:r>
              <w:rPr>
                <w:b w:val="false"/>
                <w:bCs w:val="false"/>
                <w:color w:val="000000"/>
                <w:sz w:val="19"/>
                <w:szCs w:val="19"/>
              </w:rPr>
              <w:t xml:space="preserve">Missing values</w:t>
            </w:r>
          </w:p>
        </w:tc>
        <w:tc>
          <w:tcPr>
            <w:tcW w:type="dxa" w:w="2300"/>
            <w:tcMar>
              <w:top w:type="dxa" w:w="80"/>
              <w:left w:type="dxa" w:w="120"/>
              <w:bottom w:type="dxa" w:w="80"/>
              <w:right w:type="dxa" w:w="120"/>
            </w:tcMar>
            <w:vAlign w:val="center"/>
          </w:tcPr>
          <w:p>
            <w:r>
              <w:rPr>
                <w:b w:val="false"/>
                <w:bCs w:val="false"/>
                <w:color w:val="000000"/>
                <w:sz w:val="19"/>
                <w:szCs w:val="19"/>
              </w:rPr>
              <w:t xml:space="preserve">customer_zipcode</w:t>
            </w:r>
          </w:p>
        </w:tc>
        <w:tc>
          <w:tcPr>
            <w:tcW w:type="dxa" w:w="1600"/>
            <w:tcMar>
              <w:top w:type="dxa" w:w="80"/>
              <w:left w:type="dxa" w:w="120"/>
              <w:bottom w:type="dxa" w:w="80"/>
              <w:right w:type="dxa" w:w="120"/>
            </w:tcMar>
            <w:vAlign w:val="center"/>
          </w:tcPr>
          <w:p>
            <w:r>
              <w:rPr>
                <w:b w:val="false"/>
                <w:bCs w:val="false"/>
                <w:color w:val="000000"/>
                <w:sz w:val="19"/>
                <w:szCs w:val="19"/>
              </w:rPr>
              <w:t xml:space="preserve">241 (6.0%)</w:t>
            </w:r>
          </w:p>
        </w:tc>
        <w:tc>
          <w:tcPr>
            <w:tcW w:type="dxa" w:w="3600"/>
            <w:tcMar>
              <w:top w:type="dxa" w:w="80"/>
              <w:left w:type="dxa" w:w="120"/>
              <w:bottom w:type="dxa" w:w="80"/>
              <w:right w:type="dxa" w:w="120"/>
            </w:tcMar>
            <w:vAlign w:val="center"/>
          </w:tcPr>
          <w:p>
            <w:r>
              <w:rPr>
                <w:b w:val="false"/>
                <w:bCs w:val="false"/>
                <w:color w:val="000000"/>
                <w:sz w:val="19"/>
                <w:szCs w:val="19"/>
              </w:rPr>
              <w:t xml:space="preserve">Optional field skipped at checkout</w:t>
            </w:r>
          </w:p>
        </w:tc>
      </w:tr>
      <w:tr>
        <w:tc>
          <w:tcPr>
            <w:tcW w:type="dxa" w:w="1500"/>
            <w:tcMar>
              <w:top w:type="dxa" w:w="80"/>
              <w:left w:type="dxa" w:w="120"/>
              <w:bottom w:type="dxa" w:w="80"/>
              <w:right w:type="dxa" w:w="120"/>
            </w:tcMar>
            <w:vAlign w:val="center"/>
          </w:tcPr>
          <w:p>
            <w:r>
              <w:rPr>
                <w:b w:val="false"/>
                <w:bCs w:val="false"/>
                <w:color w:val="000000"/>
                <w:sz w:val="19"/>
                <w:szCs w:val="19"/>
              </w:rPr>
              <w:t xml:space="preserve">Missing values</w:t>
            </w:r>
          </w:p>
        </w:tc>
        <w:tc>
          <w:tcPr>
            <w:tcW w:type="dxa" w:w="2300"/>
            <w:tcMar>
              <w:top w:type="dxa" w:w="80"/>
              <w:left w:type="dxa" w:w="120"/>
              <w:bottom w:type="dxa" w:w="80"/>
              <w:right w:type="dxa" w:w="120"/>
            </w:tcMar>
            <w:vAlign w:val="center"/>
          </w:tcPr>
          <w:p>
            <w:r>
              <w:rPr>
                <w:b w:val="false"/>
                <w:bCs w:val="false"/>
                <w:color w:val="000000"/>
                <w:sz w:val="19"/>
                <w:szCs w:val="19"/>
              </w:rPr>
              <w:t xml:space="preserve">benefit_per_order</w:t>
            </w:r>
          </w:p>
        </w:tc>
        <w:tc>
          <w:tcPr>
            <w:tcW w:type="dxa" w:w="1600"/>
            <w:tcMar>
              <w:top w:type="dxa" w:w="80"/>
              <w:left w:type="dxa" w:w="120"/>
              <w:bottom w:type="dxa" w:w="80"/>
              <w:right w:type="dxa" w:w="120"/>
            </w:tcMar>
            <w:vAlign w:val="center"/>
          </w:tcPr>
          <w:p>
            <w:r>
              <w:rPr>
                <w:b w:val="false"/>
                <w:bCs w:val="false"/>
                <w:color w:val="000000"/>
                <w:sz w:val="19"/>
                <w:szCs w:val="19"/>
              </w:rPr>
              <w:t xml:space="preserve">120 (3.0%)</w:t>
            </w:r>
          </w:p>
        </w:tc>
        <w:tc>
          <w:tcPr>
            <w:tcW w:type="dxa" w:w="3600"/>
            <w:tcMar>
              <w:top w:type="dxa" w:w="80"/>
              <w:left w:type="dxa" w:w="120"/>
              <w:bottom w:type="dxa" w:w="80"/>
              <w:right w:type="dxa" w:w="120"/>
            </w:tcMar>
            <w:vAlign w:val="center"/>
          </w:tcPr>
          <w:p>
            <w:r>
              <w:rPr>
                <w:b w:val="false"/>
                <w:bCs w:val="false"/>
                <w:color w:val="000000"/>
                <w:sz w:val="19"/>
                <w:szCs w:val="19"/>
              </w:rPr>
              <w:t xml:space="preserve">Margin not yet calculated at the time the order was logged</w:t>
            </w:r>
          </w:p>
        </w:tc>
      </w:tr>
      <w:tr>
        <w:tc>
          <w:tcPr>
            <w:tcW w:type="dxa" w:w="1500"/>
            <w:tcMar>
              <w:top w:type="dxa" w:w="80"/>
              <w:left w:type="dxa" w:w="120"/>
              <w:bottom w:type="dxa" w:w="80"/>
              <w:right w:type="dxa" w:w="120"/>
            </w:tcMar>
            <w:vAlign w:val="center"/>
          </w:tcPr>
          <w:p>
            <w:r>
              <w:rPr>
                <w:b w:val="false"/>
                <w:bCs w:val="false"/>
                <w:color w:val="000000"/>
                <w:sz w:val="19"/>
                <w:szCs w:val="19"/>
              </w:rPr>
              <w:t xml:space="preserve">Missing values</w:t>
            </w:r>
          </w:p>
        </w:tc>
        <w:tc>
          <w:tcPr>
            <w:tcW w:type="dxa" w:w="2300"/>
            <w:tcMar>
              <w:top w:type="dxa" w:w="80"/>
              <w:left w:type="dxa" w:w="120"/>
              <w:bottom w:type="dxa" w:w="80"/>
              <w:right w:type="dxa" w:w="120"/>
            </w:tcMar>
            <w:vAlign w:val="center"/>
          </w:tcPr>
          <w:p>
            <w:r>
              <w:rPr>
                <w:b w:val="false"/>
                <w:bCs w:val="false"/>
                <w:color w:val="000000"/>
                <w:sz w:val="19"/>
                <w:szCs w:val="19"/>
              </w:rPr>
              <w:t xml:space="preserve">category_name</w:t>
            </w:r>
          </w:p>
        </w:tc>
        <w:tc>
          <w:tcPr>
            <w:tcW w:type="dxa" w:w="1600"/>
            <w:tcMar>
              <w:top w:type="dxa" w:w="80"/>
              <w:left w:type="dxa" w:w="120"/>
              <w:bottom w:type="dxa" w:w="80"/>
              <w:right w:type="dxa" w:w="120"/>
            </w:tcMar>
            <w:vAlign w:val="center"/>
          </w:tcPr>
          <w:p>
            <w:r>
              <w:rPr>
                <w:b w:val="false"/>
                <w:bCs w:val="false"/>
                <w:color w:val="000000"/>
                <w:sz w:val="19"/>
                <w:szCs w:val="19"/>
              </w:rPr>
              <w:t xml:space="preserve">60 (1.5%)</w:t>
            </w:r>
          </w:p>
        </w:tc>
        <w:tc>
          <w:tcPr>
            <w:tcW w:type="dxa" w:w="3600"/>
            <w:tcMar>
              <w:top w:type="dxa" w:w="80"/>
              <w:left w:type="dxa" w:w="120"/>
              <w:bottom w:type="dxa" w:w="80"/>
              <w:right w:type="dxa" w:w="120"/>
            </w:tcMar>
            <w:vAlign w:val="center"/>
          </w:tcPr>
          <w:p>
            <w:r>
              <w:rPr>
                <w:b w:val="false"/>
                <w:bCs w:val="false"/>
                <w:color w:val="000000"/>
                <w:sz w:val="19"/>
                <w:szCs w:val="19"/>
              </w:rPr>
              <w:t xml:space="preserve">Catalog sync lag between source systems</w:t>
            </w:r>
          </w:p>
        </w:tc>
      </w:tr>
      <w:tr>
        <w:tc>
          <w:tcPr>
            <w:tcW w:type="dxa" w:w="1500"/>
            <w:tcMar>
              <w:top w:type="dxa" w:w="80"/>
              <w:left w:type="dxa" w:w="120"/>
              <w:bottom w:type="dxa" w:w="80"/>
              <w:right w:type="dxa" w:w="120"/>
            </w:tcMar>
            <w:vAlign w:val="center"/>
          </w:tcPr>
          <w:p>
            <w:r>
              <w:rPr>
                <w:b w:val="false"/>
                <w:bCs w:val="false"/>
                <w:color w:val="000000"/>
                <w:sz w:val="19"/>
                <w:szCs w:val="19"/>
              </w:rPr>
              <w:t xml:space="preserve">Duplicate records</w:t>
            </w:r>
          </w:p>
        </w:tc>
        <w:tc>
          <w:tcPr>
            <w:tcW w:type="dxa" w:w="2300"/>
            <w:tcMar>
              <w:top w:type="dxa" w:w="80"/>
              <w:left w:type="dxa" w:w="120"/>
              <w:bottom w:type="dxa" w:w="80"/>
              <w:right w:type="dxa" w:w="120"/>
            </w:tcMar>
            <w:vAlign w:val="center"/>
          </w:tcPr>
          <w:p>
            <w:r>
              <w:rPr>
                <w:b w:val="false"/>
                <w:bCs w:val="false"/>
                <w:color w:val="000000"/>
                <w:sz w:val="19"/>
                <w:szCs w:val="19"/>
              </w:rPr>
              <w:t xml:space="preserve">Entire row</w:t>
            </w:r>
          </w:p>
        </w:tc>
        <w:tc>
          <w:tcPr>
            <w:tcW w:type="dxa" w:w="1600"/>
            <w:tcMar>
              <w:top w:type="dxa" w:w="80"/>
              <w:left w:type="dxa" w:w="120"/>
              <w:bottom w:type="dxa" w:w="80"/>
              <w:right w:type="dxa" w:w="120"/>
            </w:tcMar>
            <w:vAlign w:val="center"/>
          </w:tcPr>
          <w:p>
            <w:r>
              <w:rPr>
                <w:b w:val="false"/>
                <w:bCs w:val="false"/>
                <w:color w:val="000000"/>
                <w:sz w:val="19"/>
                <w:szCs w:val="19"/>
              </w:rPr>
              <w:t xml:space="preserve">71 rows</w:t>
            </w:r>
          </w:p>
        </w:tc>
        <w:tc>
          <w:tcPr>
            <w:tcW w:type="dxa" w:w="3600"/>
            <w:tcMar>
              <w:top w:type="dxa" w:w="80"/>
              <w:left w:type="dxa" w:w="120"/>
              <w:bottom w:type="dxa" w:w="80"/>
              <w:right w:type="dxa" w:w="120"/>
            </w:tcMar>
            <w:vAlign w:val="center"/>
          </w:tcPr>
          <w:p>
            <w:r>
              <w:rPr>
                <w:b w:val="false"/>
                <w:bCs w:val="false"/>
                <w:color w:val="000000"/>
                <w:sz w:val="19"/>
                <w:szCs w:val="19"/>
              </w:rPr>
              <w:t xml:space="preserve">Repeated POS / API submissions</w:t>
            </w:r>
          </w:p>
        </w:tc>
      </w:tr>
      <w:tr>
        <w:tc>
          <w:tcPr>
            <w:tcW w:type="dxa" w:w="1500"/>
            <w:tcMar>
              <w:top w:type="dxa" w:w="80"/>
              <w:left w:type="dxa" w:w="120"/>
              <w:bottom w:type="dxa" w:w="80"/>
              <w:right w:type="dxa" w:w="120"/>
            </w:tcMar>
            <w:vAlign w:val="center"/>
          </w:tcPr>
          <w:p>
            <w:r>
              <w:rPr>
                <w:b w:val="false"/>
                <w:bCs w:val="false"/>
                <w:color w:val="000000"/>
                <w:sz w:val="19"/>
                <w:szCs w:val="19"/>
              </w:rPr>
              <w:t xml:space="preserve">Inconsistent text</w:t>
            </w:r>
          </w:p>
        </w:tc>
        <w:tc>
          <w:tcPr>
            <w:tcW w:type="dxa" w:w="2300"/>
            <w:tcMar>
              <w:top w:type="dxa" w:w="80"/>
              <w:left w:type="dxa" w:w="120"/>
              <w:bottom w:type="dxa" w:w="80"/>
              <w:right w:type="dxa" w:w="120"/>
            </w:tcMar>
            <w:vAlign w:val="center"/>
          </w:tcPr>
          <w:p>
            <w:r>
              <w:rPr>
                <w:b w:val="false"/>
                <w:bCs w:val="false"/>
                <w:color w:val="000000"/>
                <w:sz w:val="19"/>
                <w:szCs w:val="19"/>
              </w:rPr>
              <w:t xml:space="preserve">shipping_mode</w:t>
            </w:r>
          </w:p>
        </w:tc>
        <w:tc>
          <w:tcPr>
            <w:tcW w:type="dxa" w:w="1600"/>
            <w:tcMar>
              <w:top w:type="dxa" w:w="80"/>
              <w:left w:type="dxa" w:w="120"/>
              <w:bottom w:type="dxa" w:w="80"/>
              <w:right w:type="dxa" w:w="120"/>
            </w:tcMar>
            <w:vAlign w:val="center"/>
          </w:tcPr>
          <w:p>
            <w:r>
              <w:rPr>
                <w:b w:val="false"/>
                <w:bCs w:val="false"/>
                <w:color w:val="000000"/>
                <w:sz w:val="19"/>
                <w:szCs w:val="19"/>
              </w:rPr>
              <w:t xml:space="preserve">16 raw variants of 4 true categories</w:t>
            </w:r>
          </w:p>
        </w:tc>
        <w:tc>
          <w:tcPr>
            <w:tcW w:type="dxa" w:w="3600"/>
            <w:tcMar>
              <w:top w:type="dxa" w:w="80"/>
              <w:left w:type="dxa" w:w="120"/>
              <w:bottom w:type="dxa" w:w="80"/>
              <w:right w:type="dxa" w:w="120"/>
            </w:tcMar>
            <w:vAlign w:val="center"/>
          </w:tcPr>
          <w:p>
            <w:r>
              <w:rPr>
                <w:b w:val="false"/>
                <w:bCs w:val="false"/>
                <w:color w:val="000000"/>
                <w:sz w:val="19"/>
                <w:szCs w:val="19"/>
              </w:rPr>
              <w:t xml:space="preserve">Manual entry across multiple source systems</w:t>
            </w:r>
          </w:p>
        </w:tc>
      </w:tr>
      <w:tr>
        <w:tc>
          <w:tcPr>
            <w:tcW w:type="dxa" w:w="1500"/>
            <w:tcMar>
              <w:top w:type="dxa" w:w="80"/>
              <w:left w:type="dxa" w:w="120"/>
              <w:bottom w:type="dxa" w:w="80"/>
              <w:right w:type="dxa" w:w="120"/>
            </w:tcMar>
            <w:vAlign w:val="center"/>
          </w:tcPr>
          <w:p>
            <w:r>
              <w:rPr>
                <w:b w:val="false"/>
                <w:bCs w:val="false"/>
                <w:color w:val="000000"/>
                <w:sz w:val="19"/>
                <w:szCs w:val="19"/>
              </w:rPr>
              <w:t xml:space="preserve">Invalid values</w:t>
            </w:r>
          </w:p>
        </w:tc>
        <w:tc>
          <w:tcPr>
            <w:tcW w:type="dxa" w:w="2300"/>
            <w:tcMar>
              <w:top w:type="dxa" w:w="80"/>
              <w:left w:type="dxa" w:w="120"/>
              <w:bottom w:type="dxa" w:w="80"/>
              <w:right w:type="dxa" w:w="120"/>
            </w:tcMar>
            <w:vAlign w:val="center"/>
          </w:tcPr>
          <w:p>
            <w:r>
              <w:rPr>
                <w:b w:val="false"/>
                <w:bCs w:val="false"/>
                <w:color w:val="000000"/>
                <w:sz w:val="19"/>
                <w:szCs w:val="19"/>
              </w:rPr>
              <w:t xml:space="preserve">order_item_quantity</w:t>
            </w:r>
          </w:p>
        </w:tc>
        <w:tc>
          <w:tcPr>
            <w:tcW w:type="dxa" w:w="1600"/>
            <w:tcMar>
              <w:top w:type="dxa" w:w="80"/>
              <w:left w:type="dxa" w:w="120"/>
              <w:bottom w:type="dxa" w:w="80"/>
              <w:right w:type="dxa" w:w="120"/>
            </w:tcMar>
            <w:vAlign w:val="center"/>
          </w:tcPr>
          <w:p>
            <w:r>
              <w:rPr>
                <w:b w:val="false"/>
                <w:bCs w:val="false"/>
                <w:color w:val="000000"/>
                <w:sz w:val="19"/>
                <w:szCs w:val="19"/>
              </w:rPr>
              <w:t xml:space="preserve">20 rows (negative)</w:t>
            </w:r>
          </w:p>
        </w:tc>
        <w:tc>
          <w:tcPr>
            <w:tcW w:type="dxa" w:w="3600"/>
            <w:tcMar>
              <w:top w:type="dxa" w:w="80"/>
              <w:left w:type="dxa" w:w="120"/>
              <w:bottom w:type="dxa" w:w="80"/>
              <w:right w:type="dxa" w:w="120"/>
            </w:tcMar>
            <w:vAlign w:val="center"/>
          </w:tcPr>
          <w:p>
            <w:r>
              <w:rPr>
                <w:b w:val="false"/>
                <w:bCs w:val="false"/>
                <w:color w:val="000000"/>
                <w:sz w:val="19"/>
                <w:szCs w:val="19"/>
              </w:rPr>
              <w:t xml:space="preserve">Data-entry or system error</w:t>
            </w:r>
          </w:p>
        </w:tc>
      </w:tr>
      <w:tr>
        <w:tc>
          <w:tcPr>
            <w:tcW w:type="dxa" w:w="1500"/>
            <w:tcMar>
              <w:top w:type="dxa" w:w="80"/>
              <w:left w:type="dxa" w:w="120"/>
              <w:bottom w:type="dxa" w:w="80"/>
              <w:right w:type="dxa" w:w="120"/>
            </w:tcMar>
            <w:vAlign w:val="center"/>
          </w:tcPr>
          <w:p>
            <w:r>
              <w:rPr>
                <w:b w:val="false"/>
                <w:bCs w:val="false"/>
                <w:color w:val="000000"/>
                <w:sz w:val="19"/>
                <w:szCs w:val="19"/>
              </w:rPr>
              <w:t xml:space="preserve">Invalid values</w:t>
            </w:r>
          </w:p>
        </w:tc>
        <w:tc>
          <w:tcPr>
            <w:tcW w:type="dxa" w:w="2300"/>
            <w:tcMar>
              <w:top w:type="dxa" w:w="80"/>
              <w:left w:type="dxa" w:w="120"/>
              <w:bottom w:type="dxa" w:w="80"/>
              <w:right w:type="dxa" w:w="120"/>
            </w:tcMar>
            <w:vAlign w:val="center"/>
          </w:tcPr>
          <w:p>
            <w:r>
              <w:rPr>
                <w:b w:val="false"/>
                <w:bCs w:val="false"/>
                <w:color w:val="000000"/>
                <w:sz w:val="19"/>
                <w:szCs w:val="19"/>
              </w:rPr>
              <w:t xml:space="preserve">shipping_date</w:t>
            </w:r>
          </w:p>
        </w:tc>
        <w:tc>
          <w:tcPr>
            <w:tcW w:type="dxa" w:w="1600"/>
            <w:tcMar>
              <w:top w:type="dxa" w:w="80"/>
              <w:left w:type="dxa" w:w="120"/>
              <w:bottom w:type="dxa" w:w="80"/>
              <w:right w:type="dxa" w:w="120"/>
            </w:tcMar>
            <w:vAlign w:val="center"/>
          </w:tcPr>
          <w:p>
            <w:r>
              <w:rPr>
                <w:b w:val="false"/>
                <w:bCs w:val="false"/>
                <w:color w:val="000000"/>
                <w:sz w:val="19"/>
                <w:szCs w:val="19"/>
              </w:rPr>
              <w:t xml:space="preserve">36 rows (before order_date)</w:t>
            </w:r>
          </w:p>
        </w:tc>
        <w:tc>
          <w:tcPr>
            <w:tcW w:type="dxa" w:w="3600"/>
            <w:tcMar>
              <w:top w:type="dxa" w:w="80"/>
              <w:left w:type="dxa" w:w="120"/>
              <w:bottom w:type="dxa" w:w="80"/>
              <w:right w:type="dxa" w:w="120"/>
            </w:tcMar>
            <w:vAlign w:val="center"/>
          </w:tcPr>
          <w:p>
            <w:r>
              <w:rPr>
                <w:b w:val="false"/>
                <w:bCs w:val="false"/>
                <w:color w:val="000000"/>
                <w:sz w:val="19"/>
                <w:szCs w:val="19"/>
              </w:rPr>
              <w:t xml:space="preserve">Timestamp / timezone logging error</w:t>
            </w:r>
          </w:p>
        </w:tc>
      </w:tr>
      <w:tr>
        <w:tc>
          <w:tcPr>
            <w:tcW w:type="dxa" w:w="1500"/>
            <w:tcMar>
              <w:top w:type="dxa" w:w="80"/>
              <w:left w:type="dxa" w:w="120"/>
              <w:bottom w:type="dxa" w:w="80"/>
              <w:right w:type="dxa" w:w="120"/>
            </w:tcMar>
            <w:vAlign w:val="center"/>
          </w:tcPr>
          <w:p>
            <w:r>
              <w:rPr>
                <w:b w:val="false"/>
                <w:bCs w:val="false"/>
                <w:color w:val="000000"/>
                <w:sz w:val="19"/>
                <w:szCs w:val="19"/>
              </w:rPr>
              <w:t xml:space="preserve">Outliers</w:t>
            </w:r>
          </w:p>
        </w:tc>
        <w:tc>
          <w:tcPr>
            <w:tcW w:type="dxa" w:w="2300"/>
            <w:tcMar>
              <w:top w:type="dxa" w:w="80"/>
              <w:left w:type="dxa" w:w="120"/>
              <w:bottom w:type="dxa" w:w="80"/>
              <w:right w:type="dxa" w:w="120"/>
            </w:tcMar>
            <w:vAlign w:val="center"/>
          </w:tcPr>
          <w:p>
            <w:r>
              <w:rPr>
                <w:b w:val="false"/>
                <w:bCs w:val="false"/>
                <w:color w:val="000000"/>
                <w:sz w:val="19"/>
                <w:szCs w:val="19"/>
              </w:rPr>
              <w:t xml:space="preserve">sales</w:t>
            </w:r>
          </w:p>
        </w:tc>
        <w:tc>
          <w:tcPr>
            <w:tcW w:type="dxa" w:w="1600"/>
            <w:tcMar>
              <w:top w:type="dxa" w:w="80"/>
              <w:left w:type="dxa" w:w="120"/>
              <w:bottom w:type="dxa" w:w="80"/>
              <w:right w:type="dxa" w:w="120"/>
            </w:tcMar>
            <w:vAlign w:val="center"/>
          </w:tcPr>
          <w:p>
            <w:r>
              <w:rPr>
                <w:b w:val="false"/>
                <w:bCs w:val="false"/>
                <w:color w:val="000000"/>
                <w:sz w:val="19"/>
                <w:szCs w:val="19"/>
              </w:rPr>
              <w:t xml:space="preserve">133 rows (IQR method)</w:t>
            </w:r>
          </w:p>
        </w:tc>
        <w:tc>
          <w:tcPr>
            <w:tcW w:type="dxa" w:w="3600"/>
            <w:tcMar>
              <w:top w:type="dxa" w:w="80"/>
              <w:left w:type="dxa" w:w="120"/>
              <w:bottom w:type="dxa" w:w="80"/>
              <w:right w:type="dxa" w:w="120"/>
            </w:tcMar>
            <w:vAlign w:val="center"/>
          </w:tcPr>
          <w:p>
            <w:r>
              <w:rPr>
                <w:b w:val="false"/>
                <w:bCs w:val="false"/>
                <w:color w:val="000000"/>
                <w:sz w:val="19"/>
                <w:szCs w:val="19"/>
              </w:rPr>
              <w:t xml:space="preserve">Bulk / wholesale orders, or entry errors</w:t>
            </w:r>
          </w:p>
        </w:tc>
      </w:tr>
      <w:tr>
        <w:tc>
          <w:tcPr>
            <w:tcW w:type="dxa" w:w="1500"/>
            <w:tcMar>
              <w:top w:type="dxa" w:w="80"/>
              <w:left w:type="dxa" w:w="120"/>
              <w:bottom w:type="dxa" w:w="80"/>
              <w:right w:type="dxa" w:w="120"/>
            </w:tcMar>
            <w:vAlign w:val="center"/>
          </w:tcPr>
          <w:p>
            <w:r>
              <w:rPr>
                <w:b w:val="false"/>
                <w:bCs w:val="false"/>
                <w:color w:val="000000"/>
                <w:sz w:val="19"/>
                <w:szCs w:val="19"/>
              </w:rPr>
              <w:t xml:space="preserve">Outliers</w:t>
            </w:r>
          </w:p>
        </w:tc>
        <w:tc>
          <w:tcPr>
            <w:tcW w:type="dxa" w:w="2300"/>
            <w:tcMar>
              <w:top w:type="dxa" w:w="80"/>
              <w:left w:type="dxa" w:w="120"/>
              <w:bottom w:type="dxa" w:w="80"/>
              <w:right w:type="dxa" w:w="120"/>
            </w:tcMar>
            <w:vAlign w:val="center"/>
          </w:tcPr>
          <w:p>
            <w:r>
              <w:rPr>
                <w:b w:val="false"/>
                <w:bCs w:val="false"/>
                <w:color w:val="000000"/>
                <w:sz w:val="19"/>
                <w:szCs w:val="19"/>
              </w:rPr>
              <w:t xml:space="preserve">actual_shipping_days</w:t>
            </w:r>
          </w:p>
        </w:tc>
        <w:tc>
          <w:tcPr>
            <w:tcW w:type="dxa" w:w="1600"/>
            <w:tcMar>
              <w:top w:type="dxa" w:w="80"/>
              <w:left w:type="dxa" w:w="120"/>
              <w:bottom w:type="dxa" w:w="80"/>
              <w:right w:type="dxa" w:w="120"/>
            </w:tcMar>
            <w:vAlign w:val="center"/>
          </w:tcPr>
          <w:p>
            <w:r>
              <w:rPr>
                <w:b w:val="false"/>
                <w:bCs w:val="false"/>
                <w:color w:val="000000"/>
                <w:sz w:val="19"/>
                <w:szCs w:val="19"/>
              </w:rPr>
              <w:t xml:space="preserve">30 rows (&gt; 9.5 days)</w:t>
            </w:r>
          </w:p>
        </w:tc>
        <w:tc>
          <w:tcPr>
            <w:tcW w:type="dxa" w:w="3600"/>
            <w:tcMar>
              <w:top w:type="dxa" w:w="80"/>
              <w:left w:type="dxa" w:w="120"/>
              <w:bottom w:type="dxa" w:w="80"/>
              <w:right w:type="dxa" w:w="120"/>
            </w:tcMar>
            <w:vAlign w:val="center"/>
          </w:tcPr>
          <w:p>
            <w:r>
              <w:rPr>
                <w:b w:val="false"/>
                <w:bCs w:val="false"/>
                <w:color w:val="000000"/>
                <w:sz w:val="19"/>
                <w:szCs w:val="19"/>
              </w:rPr>
              <w:t xml:space="preserve">Genuine disruptions — customs, capacity, weather</w:t>
            </w:r>
          </w:p>
        </w:tc>
      </w:tr>
    </w:tbl>
    <w:p>
      <w:pPr>
        <w:spacing w:after="300"/>
      </w:pPr>
    </w:p>
    <w:p>
      <w:pPr>
        <w:pStyle w:val="Heading1"/>
      </w:pPr>
      <w:r>
        <w:t xml:space="preserve">4. Cleaning &amp; Preprocessing Methodology</w:t>
      </w:r>
    </w:p>
    <w:p>
      <w:pPr>
        <w:spacing w:after="200" w:line="300"/>
      </w:pPr>
      <w:r>
        <w:rPr>
          <w:b w:val="false"/>
          <w:bCs w:val="false"/>
          <w:i w:val="false"/>
          <w:iCs w:val="false"/>
        </w:rPr>
        <w:t xml:space="preserve">Each issue above was resolved with a technique chosen for a specific reason, not a default. The rationale for each is explained below, grouped by issue type.</w:t>
      </w:r>
    </w:p>
    <w:p>
      <w:pPr>
        <w:pStyle w:val="Heading2"/>
      </w:pPr>
      <w:r>
        <w:t xml:space="preserve">4.1 Duplicate removal</w:t>
      </w:r>
    </w:p>
    <w:p>
      <w:pPr>
        <w:spacing w:after="200" w:line="300"/>
      </w:pPr>
      <w:r>
        <w:rPr>
          <w:b w:val="false"/>
          <w:bCs w:val="false"/>
          <w:i w:val="false"/>
          <w:iCs w:val="false"/>
        </w:rPr>
        <w:t xml:space="preserve">The 71 duplicate rows were exact, full-row matches, so removing them with drop_duplicates() carries no ambiguity or risk of discarding a legitimate repeat order — a fuzzy or partial-match deduplication strategy was not needed here. Left in place, they would have inflated order-volume counts by roughly 1.7%.</w:t>
      </w:r>
    </w:p>
    <w:p>
      <w:pPr>
        <w:pStyle w:val="Heading2"/>
      </w:pPr>
      <w:r>
        <w:t xml:space="preserve">4.2 Missing-value strategy</w:t>
      </w:r>
    </w:p>
    <w:p>
      <w:pPr>
        <w:spacing w:after="200" w:line="300"/>
      </w:pPr>
      <w:r>
        <w:rPr>
          <w:b w:val="false"/>
          <w:bCs w:val="false"/>
          <w:i w:val="false"/>
          <w:iCs w:val="false"/>
        </w:rPr>
        <w:t xml:space="preserve">Rather than applying one rule to every column, the missing-value rate and the role of each field guided the choice:</w:t>
      </w:r>
    </w:p>
    <w:p>
      <w:pPr>
        <w:pStyle w:val="ListParagraph"/>
        <w:numPr>
          <w:ilvl w:val="0"/>
          <w:numId w:val="2"/>
        </w:numPr>
        <w:spacing w:after="100" w:line="280"/>
      </w:pPr>
      <w:r>
        <w:t xml:space="preserve">order_zipcode (42.0% missing) — the column was dropped outright. At this missing rate, any imputation would be manufacturing values rather than estimating them, and the field is not required for the shipping-performance KPIs this project targets.</w:t>
      </w:r>
    </w:p>
    <w:p>
      <w:pPr>
        <w:pStyle w:val="ListParagraph"/>
        <w:numPr>
          <w:ilvl w:val="0"/>
          <w:numId w:val="2"/>
        </w:numPr>
        <w:spacing w:after="100" w:line="280"/>
      </w:pPr>
      <w:r>
        <w:t xml:space="preserve">customer_zipcode (6.0% missing) — rows were dropped. It is an identifier field, the missing rate is low, and no analysis in this project depends on it, so removing the affected rows is safer than inventing a postal code.</w:t>
      </w:r>
    </w:p>
    <w:p>
      <w:pPr>
        <w:pStyle w:val="ListParagraph"/>
        <w:numPr>
          <w:ilvl w:val="0"/>
          <w:numId w:val="2"/>
        </w:numPr>
        <w:spacing w:after="100" w:line="280"/>
      </w:pPr>
      <w:r>
        <w:t xml:space="preserve">benefit_per_order (3.0% missing) — imputed with the column median (US$18.57). Profit margins are right-skewed by a small number of high-value orders, and the median is far less sensitive to that skew than the mean would be, so it does not distort the KPI it feeds.</w:t>
      </w:r>
    </w:p>
    <w:p>
      <w:pPr>
        <w:pStyle w:val="ListParagraph"/>
        <w:numPr>
          <w:ilvl w:val="0"/>
          <w:numId w:val="2"/>
        </w:numPr>
        <w:spacing w:after="100" w:line="280"/>
      </w:pPr>
      <w:r>
        <w:t xml:space="preserve">category_name (1.5% missing) — imputed with the column mode ('Indoor/Outdoor Games'). At such a low missing rate, and with a small number of possible categories, filling with the most frequent value has negligible effect on category-level aggregates.</w:t>
      </w:r>
    </w:p>
    <w:p>
      <w:pPr>
        <w:pStyle w:val="Heading2"/>
      </w:pPr>
      <w:r>
        <w:t xml:space="preserve">4.3 Standardizing categorical text</w:t>
      </w:r>
    </w:p>
    <w:p>
      <w:pPr>
        <w:spacing w:after="200" w:line="300"/>
      </w:pPr>
      <w:r>
        <w:rPr>
          <w:b w:val="false"/>
          <w:bCs w:val="false"/>
          <w:i w:val="false"/>
          <w:iCs w:val="false"/>
        </w:rPr>
        <w:t xml:space="preserve">shipping_mode appeared in 16 raw string variants of only 4 true categories (mixed casing and stray whitespace, e.g. "STANDARD CLASS", "standard class "). Left unresolved, a group-by on this field would silently report up to 16 shipping methods instead of 4, fragmenting exactly the shipping-cost and delay comparisons this project needs. Standardizing to a canonical label set — via .str.strip().str.lower() followed by a mapping to four fixed labels — restores the field to its true four categories.</w:t>
      </w:r>
    </w:p>
    <w:p>
      <w:pPr>
        <w:pStyle w:val="Heading2"/>
      </w:pPr>
      <w:r>
        <w:t xml:space="preserve">4.4 Correcting invalid values</w:t>
      </w:r>
    </w:p>
    <w:p>
      <w:pPr>
        <w:spacing w:after="200" w:line="300"/>
      </w:pPr>
      <w:r>
        <w:rPr>
          <w:b w:val="false"/>
          <w:bCs w:val="false"/>
          <w:i w:val="false"/>
          <w:iCs w:val="false"/>
        </w:rPr>
        <w:t xml:space="preserve">Two issues here needed different fixes rather than the same one applied twice:</w:t>
      </w:r>
    </w:p>
    <w:p>
      <w:pPr>
        <w:pStyle w:val="ListParagraph"/>
        <w:numPr>
          <w:ilvl w:val="0"/>
          <w:numId w:val="2"/>
        </w:numPr>
        <w:spacing w:after="100" w:line="280"/>
      </w:pPr>
      <w:r>
        <w:t xml:space="preserve">order_item_quantity: 20 rows recorded a negative quantity, which is not a value that can be corrected with any confidence — there is no reliable way to recover what was actually ordered — so these rows were dropped.</w:t>
      </w:r>
    </w:p>
    <w:p>
      <w:pPr>
        <w:pStyle w:val="ListParagraph"/>
        <w:numPr>
          <w:ilvl w:val="0"/>
          <w:numId w:val="2"/>
        </w:numPr>
        <w:spacing w:after="100" w:line="280"/>
      </w:pPr>
      <w:r>
        <w:t xml:space="preserve">shipping_date: 36 rows had a shipping date logged before the order date, which is a timestamp error rather than evidence the transaction itself is invalid. Since actual_shipping_days was internally consistent for these rows, shipping_date was repaired by recomputing it from order_date + actual_shipping_days, preserving the transaction instead of discarding it.</w:t>
      </w:r>
    </w:p>
    <w:p>
      <w:pPr>
        <w:pStyle w:val="Heading2"/>
      </w:pPr>
      <w:r>
        <w:t xml:space="preserve">4.5 Outlier detection and treatment</w:t>
      </w:r>
    </w:p>
    <w:p>
      <w:pPr>
        <w:spacing w:after="200" w:line="300"/>
      </w:pPr>
      <w:r>
        <w:rPr>
          <w:b w:val="false"/>
          <w:bCs w:val="false"/>
          <w:i w:val="false"/>
          <w:iCs w:val="false"/>
        </w:rPr>
        <w:t xml:space="preserve">Outliers were identified using the interquartile range (IQR) method: values below Q1 − 1.5×IQR or above Q3 + 1.5×IQR are flagged. Critically, sales and actual_shipping_days were treated differently, because an extreme value means something different in each:</w:t>
      </w:r>
    </w:p>
    <w:p>
      <w:pPr>
        <w:pStyle w:val="ListParagraph"/>
        <w:numPr>
          <w:ilvl w:val="0"/>
          <w:numId w:val="2"/>
        </w:numPr>
        <w:spacing w:after="100" w:line="280"/>
      </w:pPr>
      <w:r>
        <w:t xml:space="preserve">sales: 133 values fell outside the IQR bounds. These were capped (winsorized) to the boundary value rather than removed, which limits their influence on aggregate figures like average order value while still keeping every transaction in the dataset.</w:t>
      </w:r>
    </w:p>
    <w:p>
      <w:pPr>
        <w:pStyle w:val="ListParagraph"/>
        <w:numPr>
          <w:ilvl w:val="0"/>
          <w:numId w:val="2"/>
        </w:numPr>
        <w:spacing w:after="100" w:line="280"/>
      </w:pPr>
      <w:r>
        <w:t xml:space="preserve">actual_shipping_days: 30 deliveries exceeded the upper bound of 9.5 days. These were flagged in a new shipping_delay_anomaly column rather than capped or removed, because an unusually long delivery time may reflect a genuine operational disruption (customs, capacity, weather) rather than bad data — and removing it would erase the exact signal an on-time-delivery investigation is looking for.</w:t>
      </w:r>
    </w:p>
    <w:p>
      <w:pPr>
        <w:pStyle w:val="Heading2"/>
      </w:pPr>
      <w:r>
        <w:t xml:space="preserve">4.6 Normalization</w:t>
      </w:r>
    </w:p>
    <w:p>
      <w:pPr>
        <w:spacing w:after="200" w:line="300"/>
      </w:pPr>
      <w:r>
        <w:rPr>
          <w:b w:val="false"/>
          <w:bCs w:val="false"/>
          <w:i w:val="false"/>
          <w:iCs w:val="false"/>
        </w:rPr>
        <w:t xml:space="preserve">Min-Max scaling was applied to sales_capped and actual_shipping_days, rescaling both to a common [0, 1] range. This matters because sales is measured in tens to hundreds of dollars while shipping time is measured in single-digit days — without rescaling, any distance-based method used in later weeks (e.g., k-means clustering for route or customer segmentation) would let sales dominate the distance calculation purely because of its larger numeric scale, not because it is more important. Z-score standardization is noted as the alternative to use instead if a later model assumes normally distributed input.</w:t>
      </w:r>
    </w:p>
    <w:p>
      <w:pPr>
        <w:pStyle w:val="Heading1"/>
      </w:pPr>
      <w:r>
        <w:t xml:space="preserve">5. Python Implementation (Code Documentation)</w:t>
      </w:r>
    </w:p>
    <w:p>
      <w:pPr>
        <w:spacing w:after="200" w:line="300"/>
      </w:pPr>
      <w:r>
        <w:rPr>
          <w:b w:val="false"/>
          <w:bCs w:val="false"/>
          <w:i w:val="false"/>
          <w:iCs w:val="false"/>
        </w:rPr>
        <w:t xml:space="preserve">The snippets below are trimmed for readability; the complete, runnable script (data simulation + full pipeline) is included in the accompanying GitHub repository. All code was executed against the working sample described in Section 2.2, and the counts in the comments are real output, not illustrative placeholders.</w:t>
      </w:r>
    </w:p>
    <w:p>
      <w:pPr>
        <w:pStyle w:val="Heading2"/>
      </w:pPr>
      <w:r>
        <w:t xml:space="preserve">5.1 Initial inspection</w:t>
      </w:r>
    </w:p>
    <w:p>
      <w:pPr>
        <w:shd w:fill="F2F2F2" w:color="auto" w:val="clear"/>
        <w:spacing w:after="0" w:line="250"/>
        <w:ind w:left="200" w:right="200"/>
      </w:pPr>
      <w:r>
        <w:rPr>
          <w:rFonts w:ascii="Consolas" w:cs="Consolas" w:eastAsia="Consolas" w:hAnsi="Consolas"/>
          <w:sz w:val="18"/>
          <w:szCs w:val="18"/>
        </w:rPr>
        <w:t xml:space="preserve">import pandas as pd</w:t>
      </w:r>
    </w:p>
    <w:p>
      <w:pPr>
        <w:shd w:fill="F2F2F2" w:color="auto" w:val="clear"/>
        <w:spacing w:after="0" w:line="250"/>
        <w:ind w:left="200" w:right="200"/>
      </w:pPr>
      <w:r>
        <w:rPr>
          <w:rFonts w:ascii="Consolas" w:cs="Consolas" w:eastAsia="Consolas" w:hAnsi="Consolas"/>
          <w:sz w:val="18"/>
          <w:szCs w:val="18"/>
        </w:rPr>
        <w:t xml:space="preserve"> </w:t>
      </w:r>
    </w:p>
    <w:p>
      <w:pPr>
        <w:shd w:fill="F2F2F2" w:color="auto" w:val="clear"/>
        <w:spacing w:after="0" w:line="250"/>
        <w:ind w:left="200" w:right="200"/>
      </w:pPr>
      <w:r>
        <w:rPr>
          <w:rFonts w:ascii="Consolas" w:cs="Consolas" w:eastAsia="Consolas" w:hAnsi="Consolas"/>
          <w:sz w:val="18"/>
          <w:szCs w:val="18"/>
        </w:rPr>
        <w:t xml:space="preserve">df = pd.read_csv("raw_logistics_data.csv",</w:t>
      </w:r>
    </w:p>
    <w:p>
      <w:pPr>
        <w:shd w:fill="F2F2F2" w:color="auto" w:val="clear"/>
        <w:spacing w:after="0" w:line="250"/>
        <w:ind w:left="200" w:right="200"/>
      </w:pPr>
      <w:r>
        <w:rPr>
          <w:rFonts w:ascii="Consolas" w:cs="Consolas" w:eastAsia="Consolas" w:hAnsi="Consolas"/>
          <w:sz w:val="18"/>
          <w:szCs w:val="18"/>
        </w:rPr>
        <w:t xml:space="preserve">                  parse_dates=["order_date", "shipping_date"])</w:t>
      </w:r>
    </w:p>
    <w:p>
      <w:pPr>
        <w:shd w:fill="F2F2F2" w:color="auto" w:val="clear"/>
        <w:spacing w:after="0" w:line="250"/>
        <w:ind w:left="200" w:right="200"/>
      </w:pPr>
      <w:r>
        <w:rPr>
          <w:rFonts w:ascii="Consolas" w:cs="Consolas" w:eastAsia="Consolas" w:hAnsi="Consolas"/>
          <w:sz w:val="18"/>
          <w:szCs w:val="18"/>
        </w:rPr>
        <w:t xml:space="preserve"> </w:t>
      </w:r>
    </w:p>
    <w:p>
      <w:pPr>
        <w:shd w:fill="F2F2F2" w:color="auto" w:val="clear"/>
        <w:spacing w:after="0" w:line="250"/>
        <w:ind w:left="200" w:right="200"/>
      </w:pPr>
      <w:r>
        <w:rPr>
          <w:rFonts w:ascii="Consolas" w:cs="Consolas" w:eastAsia="Consolas" w:hAnsi="Consolas"/>
          <w:sz w:val="18"/>
          <w:szCs w:val="18"/>
        </w:rPr>
        <w:t xml:space="preserve">print(df.shape)               # (4080, 17)</w:t>
      </w:r>
    </w:p>
    <w:p>
      <w:pPr>
        <w:shd w:fill="F2F2F2" w:color="auto" w:val="clear"/>
        <w:spacing w:after="0" w:line="250"/>
        <w:ind w:left="200" w:right="200"/>
      </w:pPr>
      <w:r>
        <w:rPr>
          <w:rFonts w:ascii="Consolas" w:cs="Consolas" w:eastAsia="Consolas" w:hAnsi="Consolas"/>
          <w:sz w:val="18"/>
          <w:szCs w:val="18"/>
        </w:rPr>
        <w:t xml:space="preserve">print(df.isnull().sum())      # missing values per column</w:t>
      </w:r>
    </w:p>
    <w:p>
      <w:pPr>
        <w:pBdr>
          <w:bottom w:val="single" w:color="D9D9D9" w:sz="2"/>
        </w:pBdr>
        <w:shd w:fill="F2F2F2" w:color="auto" w:val="clear"/>
        <w:spacing w:after="0" w:line="250"/>
        <w:ind w:left="200" w:right="200"/>
      </w:pPr>
      <w:r>
        <w:rPr>
          <w:rFonts w:ascii="Consolas" w:cs="Consolas" w:eastAsia="Consolas" w:hAnsi="Consolas"/>
          <w:sz w:val="18"/>
          <w:szCs w:val="18"/>
        </w:rPr>
        <w:t xml:space="preserve">print(df.duplicated().sum())  # 71</w:t>
      </w:r>
    </w:p>
    <w:p>
      <w:pPr>
        <w:spacing w:after="240"/>
      </w:pPr>
    </w:p>
    <w:p>
      <w:pPr>
        <w:pStyle w:val="Heading2"/>
      </w:pPr>
      <w:r>
        <w:t xml:space="preserve">5.2 Duplicate removal</w:t>
      </w:r>
    </w:p>
    <w:p>
      <w:pPr>
        <w:shd w:fill="F2F2F2" w:color="auto" w:val="clear"/>
        <w:spacing w:after="0" w:line="250"/>
        <w:ind w:left="200" w:right="200"/>
      </w:pPr>
      <w:r>
        <w:rPr>
          <w:rFonts w:ascii="Consolas" w:cs="Consolas" w:eastAsia="Consolas" w:hAnsi="Consolas"/>
          <w:sz w:val="18"/>
          <w:szCs w:val="18"/>
        </w:rPr>
        <w:t xml:space="preserve">df = df.drop_duplicates().reset_index(drop=True)</w:t>
      </w:r>
    </w:p>
    <w:p>
      <w:pPr>
        <w:pBdr>
          <w:bottom w:val="single" w:color="D9D9D9" w:sz="2"/>
        </w:pBdr>
        <w:shd w:fill="F2F2F2" w:color="auto" w:val="clear"/>
        <w:spacing w:after="0" w:line="250"/>
        <w:ind w:left="200" w:right="200"/>
      </w:pPr>
      <w:r>
        <w:rPr>
          <w:rFonts w:ascii="Consolas" w:cs="Consolas" w:eastAsia="Consolas" w:hAnsi="Consolas"/>
          <w:sz w:val="18"/>
          <w:szCs w:val="18"/>
        </w:rPr>
        <w:t xml:space="preserve"># 71 exact duplicate rows removed -&gt; 4,009 rows remain</w:t>
      </w:r>
    </w:p>
    <w:p>
      <w:pPr>
        <w:spacing w:after="240"/>
      </w:pPr>
    </w:p>
    <w:p>
      <w:pPr>
        <w:pStyle w:val="Heading2"/>
      </w:pPr>
      <w:r>
        <w:t xml:space="preserve">5.3 Missing-value treatment</w:t>
      </w:r>
    </w:p>
    <w:p>
      <w:pPr>
        <w:shd w:fill="F2F2F2" w:color="auto" w:val="clear"/>
        <w:spacing w:after="0" w:line="250"/>
        <w:ind w:left="200" w:right="200"/>
      </w:pPr>
      <w:r>
        <w:rPr>
          <w:rFonts w:ascii="Consolas" w:cs="Consolas" w:eastAsia="Consolas" w:hAnsi="Consolas"/>
          <w:sz w:val="18"/>
          <w:szCs w:val="18"/>
        </w:rPr>
        <w:t xml:space="preserve"># Column-level: drop fields too sparse to impute reliably</w:t>
      </w:r>
    </w:p>
    <w:p>
      <w:pPr>
        <w:shd w:fill="F2F2F2" w:color="auto" w:val="clear"/>
        <w:spacing w:after="0" w:line="250"/>
        <w:ind w:left="200" w:right="200"/>
      </w:pPr>
      <w:r>
        <w:rPr>
          <w:rFonts w:ascii="Consolas" w:cs="Consolas" w:eastAsia="Consolas" w:hAnsi="Consolas"/>
          <w:sz w:val="18"/>
          <w:szCs w:val="18"/>
        </w:rPr>
        <w:t xml:space="preserve">df = df.drop(columns=["order_zipcode"])           # 42.0% missing</w:t>
      </w:r>
    </w:p>
    <w:p>
      <w:pPr>
        <w:shd w:fill="F2F2F2" w:color="auto" w:val="clear"/>
        <w:spacing w:after="0" w:line="250"/>
        <w:ind w:left="200" w:right="200"/>
      </w:pPr>
      <w:r>
        <w:rPr>
          <w:rFonts w:ascii="Consolas" w:cs="Consolas" w:eastAsia="Consolas" w:hAnsi="Consolas"/>
          <w:sz w:val="18"/>
          <w:szCs w:val="18"/>
        </w:rPr>
        <w:t xml:space="preserve"> </w:t>
      </w:r>
    </w:p>
    <w:p>
      <w:pPr>
        <w:shd w:fill="F2F2F2" w:color="auto" w:val="clear"/>
        <w:spacing w:after="0" w:line="250"/>
        <w:ind w:left="200" w:right="200"/>
      </w:pPr>
      <w:r>
        <w:rPr>
          <w:rFonts w:ascii="Consolas" w:cs="Consolas" w:eastAsia="Consolas" w:hAnsi="Consolas"/>
          <w:sz w:val="18"/>
          <w:szCs w:val="18"/>
        </w:rPr>
        <w:t xml:space="preserve"># Row-level: drop rows missing a low-rate identifier field</w:t>
      </w:r>
    </w:p>
    <w:p>
      <w:pPr>
        <w:shd w:fill="F2F2F2" w:color="auto" w:val="clear"/>
        <w:spacing w:after="0" w:line="250"/>
        <w:ind w:left="200" w:right="200"/>
      </w:pPr>
      <w:r>
        <w:rPr>
          <w:rFonts w:ascii="Consolas" w:cs="Consolas" w:eastAsia="Consolas" w:hAnsi="Consolas"/>
          <w:sz w:val="18"/>
          <w:szCs w:val="18"/>
        </w:rPr>
        <w:t xml:space="preserve">df = df.dropna(subset=["customer_zipcode"])       # 241 rows (6.0%)</w:t>
      </w:r>
    </w:p>
    <w:p>
      <w:pPr>
        <w:shd w:fill="F2F2F2" w:color="auto" w:val="clear"/>
        <w:spacing w:after="0" w:line="250"/>
        <w:ind w:left="200" w:right="200"/>
      </w:pPr>
      <w:r>
        <w:rPr>
          <w:rFonts w:ascii="Consolas" w:cs="Consolas" w:eastAsia="Consolas" w:hAnsi="Consolas"/>
          <w:sz w:val="18"/>
          <w:szCs w:val="18"/>
        </w:rPr>
        <w:t xml:space="preserve"> </w:t>
      </w:r>
    </w:p>
    <w:p>
      <w:pPr>
        <w:shd w:fill="F2F2F2" w:color="auto" w:val="clear"/>
        <w:spacing w:after="0" w:line="250"/>
        <w:ind w:left="200" w:right="200"/>
      </w:pPr>
      <w:r>
        <w:rPr>
          <w:rFonts w:ascii="Consolas" w:cs="Consolas" w:eastAsia="Consolas" w:hAnsi="Consolas"/>
          <w:sz w:val="18"/>
          <w:szCs w:val="18"/>
        </w:rPr>
        <w:t xml:space="preserve"># Numeric &amp; skewed -&gt; median imputation (robust to outliers)</w:t>
      </w:r>
    </w:p>
    <w:p>
      <w:pPr>
        <w:shd w:fill="F2F2F2" w:color="auto" w:val="clear"/>
        <w:spacing w:after="0" w:line="250"/>
        <w:ind w:left="200" w:right="200"/>
      </w:pPr>
      <w:r>
        <w:rPr>
          <w:rFonts w:ascii="Consolas" w:cs="Consolas" w:eastAsia="Consolas" w:hAnsi="Consolas"/>
          <w:sz w:val="18"/>
          <w:szCs w:val="18"/>
        </w:rPr>
        <w:t xml:space="preserve">df["benefit_per_order"] = df["benefit_per_order"].fillna(</w:t>
      </w:r>
    </w:p>
    <w:p>
      <w:pPr>
        <w:shd w:fill="F2F2F2" w:color="auto" w:val="clear"/>
        <w:spacing w:after="0" w:line="250"/>
        <w:ind w:left="200" w:right="200"/>
      </w:pPr>
      <w:r>
        <w:rPr>
          <w:rFonts w:ascii="Consolas" w:cs="Consolas" w:eastAsia="Consolas" w:hAnsi="Consolas"/>
          <w:sz w:val="18"/>
          <w:szCs w:val="18"/>
        </w:rPr>
        <w:t xml:space="preserve">    df["benefit_per_order"].median())             # median = $18.57</w:t>
      </w:r>
    </w:p>
    <w:p>
      <w:pPr>
        <w:shd w:fill="F2F2F2" w:color="auto" w:val="clear"/>
        <w:spacing w:after="0" w:line="250"/>
        <w:ind w:left="200" w:right="200"/>
      </w:pPr>
      <w:r>
        <w:rPr>
          <w:rFonts w:ascii="Consolas" w:cs="Consolas" w:eastAsia="Consolas" w:hAnsi="Consolas"/>
          <w:sz w:val="18"/>
          <w:szCs w:val="18"/>
        </w:rPr>
        <w:t xml:space="preserve"> </w:t>
      </w:r>
    </w:p>
    <w:p>
      <w:pPr>
        <w:shd w:fill="F2F2F2" w:color="auto" w:val="clear"/>
        <w:spacing w:after="0" w:line="250"/>
        <w:ind w:left="200" w:right="200"/>
      </w:pPr>
      <w:r>
        <w:rPr>
          <w:rFonts w:ascii="Consolas" w:cs="Consolas" w:eastAsia="Consolas" w:hAnsi="Consolas"/>
          <w:sz w:val="18"/>
          <w:szCs w:val="18"/>
        </w:rPr>
        <w:t xml:space="preserve"># Low-cardinality categorical -&gt; mode imputation</w:t>
      </w:r>
    </w:p>
    <w:p>
      <w:pPr>
        <w:shd w:fill="F2F2F2" w:color="auto" w:val="clear"/>
        <w:spacing w:after="0" w:line="250"/>
        <w:ind w:left="200" w:right="200"/>
      </w:pPr>
      <w:r>
        <w:rPr>
          <w:rFonts w:ascii="Consolas" w:cs="Consolas" w:eastAsia="Consolas" w:hAnsi="Consolas"/>
          <w:sz w:val="18"/>
          <w:szCs w:val="18"/>
        </w:rPr>
        <w:t xml:space="preserve">df["category_name"] = df["category_name"].fillna(</w:t>
      </w:r>
    </w:p>
    <w:p>
      <w:pPr>
        <w:pBdr>
          <w:bottom w:val="single" w:color="D9D9D9" w:sz="2"/>
        </w:pBdr>
        <w:shd w:fill="F2F2F2" w:color="auto" w:val="clear"/>
        <w:spacing w:after="0" w:line="250"/>
        <w:ind w:left="200" w:right="200"/>
      </w:pPr>
      <w:r>
        <w:rPr>
          <w:rFonts w:ascii="Consolas" w:cs="Consolas" w:eastAsia="Consolas" w:hAnsi="Consolas"/>
          <w:sz w:val="18"/>
          <w:szCs w:val="18"/>
        </w:rPr>
        <w:t xml:space="preserve">    df["category_name"].mode()[0])                # "Indoor/Outdoor Games"</w:t>
      </w:r>
    </w:p>
    <w:p>
      <w:pPr>
        <w:spacing w:after="240"/>
      </w:pPr>
    </w:p>
    <w:p>
      <w:pPr>
        <w:pStyle w:val="Heading2"/>
      </w:pPr>
      <w:r>
        <w:t xml:space="preserve">5.4 Standardizing categorical text</w:t>
      </w:r>
    </w:p>
    <w:p>
      <w:pPr>
        <w:shd w:fill="F2F2F2" w:color="auto" w:val="clear"/>
        <w:spacing w:after="0" w:line="250"/>
        <w:ind w:left="200" w:right="200"/>
      </w:pPr>
      <w:r>
        <w:rPr>
          <w:rFonts w:ascii="Consolas" w:cs="Consolas" w:eastAsia="Consolas" w:hAnsi="Consolas"/>
          <w:sz w:val="18"/>
          <w:szCs w:val="18"/>
        </w:rPr>
        <w:t xml:space="preserve">canonical_map = {</w:t>
      </w:r>
    </w:p>
    <w:p>
      <w:pPr>
        <w:shd w:fill="F2F2F2" w:color="auto" w:val="clear"/>
        <w:spacing w:after="0" w:line="250"/>
        <w:ind w:left="200" w:right="200"/>
      </w:pPr>
      <w:r>
        <w:rPr>
          <w:rFonts w:ascii="Consolas" w:cs="Consolas" w:eastAsia="Consolas" w:hAnsi="Consolas"/>
          <w:sz w:val="18"/>
          <w:szCs w:val="18"/>
        </w:rPr>
        <w:t xml:space="preserve">    "standard class": "Standard Class", "first class": "First Class",</w:t>
      </w:r>
    </w:p>
    <w:p>
      <w:pPr>
        <w:shd w:fill="F2F2F2" w:color="auto" w:val="clear"/>
        <w:spacing w:after="0" w:line="250"/>
        <w:ind w:left="200" w:right="200"/>
      </w:pPr>
      <w:r>
        <w:rPr>
          <w:rFonts w:ascii="Consolas" w:cs="Consolas" w:eastAsia="Consolas" w:hAnsi="Consolas"/>
          <w:sz w:val="18"/>
          <w:szCs w:val="18"/>
        </w:rPr>
        <w:t xml:space="preserve">    "second class": "Second Class", "same day": "Same Day",</w:t>
      </w:r>
    </w:p>
    <w:p>
      <w:pPr>
        <w:shd w:fill="F2F2F2" w:color="auto" w:val="clear"/>
        <w:spacing w:after="0" w:line="250"/>
        <w:ind w:left="200" w:right="200"/>
      </w:pPr>
      <w:r>
        <w:rPr>
          <w:rFonts w:ascii="Consolas" w:cs="Consolas" w:eastAsia="Consolas" w:hAnsi="Consolas"/>
          <w:sz w:val="18"/>
          <w:szCs w:val="18"/>
        </w:rPr>
        <w:t xml:space="preserve">}</w:t>
      </w:r>
    </w:p>
    <w:p>
      <w:pPr>
        <w:shd w:fill="F2F2F2" w:color="auto" w:val="clear"/>
        <w:spacing w:after="0" w:line="250"/>
        <w:ind w:left="200" w:right="200"/>
      </w:pPr>
      <w:r>
        <w:rPr>
          <w:rFonts w:ascii="Consolas" w:cs="Consolas" w:eastAsia="Consolas" w:hAnsi="Consolas"/>
          <w:sz w:val="18"/>
          <w:szCs w:val="18"/>
        </w:rPr>
        <w:t xml:space="preserve">df["shipping_mode"] = (df["shipping_mode"]</w:t>
      </w:r>
    </w:p>
    <w:p>
      <w:pPr>
        <w:shd w:fill="F2F2F2" w:color="auto" w:val="clear"/>
        <w:spacing w:after="0" w:line="250"/>
        <w:ind w:left="200" w:right="200"/>
      </w:pPr>
      <w:r>
        <w:rPr>
          <w:rFonts w:ascii="Consolas" w:cs="Consolas" w:eastAsia="Consolas" w:hAnsi="Consolas"/>
          <w:sz w:val="18"/>
          <w:szCs w:val="18"/>
        </w:rPr>
        <w:t xml:space="preserve">                        .str.strip().str.lower()</w:t>
      </w:r>
    </w:p>
    <w:p>
      <w:pPr>
        <w:shd w:fill="F2F2F2" w:color="auto" w:val="clear"/>
        <w:spacing w:after="0" w:line="250"/>
        <w:ind w:left="200" w:right="200"/>
      </w:pPr>
      <w:r>
        <w:rPr>
          <w:rFonts w:ascii="Consolas" w:cs="Consolas" w:eastAsia="Consolas" w:hAnsi="Consolas"/>
          <w:sz w:val="18"/>
          <w:szCs w:val="18"/>
        </w:rPr>
        <w:t xml:space="preserve">                        .map(canonical_map))</w:t>
      </w:r>
    </w:p>
    <w:p>
      <w:pPr>
        <w:pBdr>
          <w:bottom w:val="single" w:color="D9D9D9" w:sz="2"/>
        </w:pBdr>
        <w:shd w:fill="F2F2F2" w:color="auto" w:val="clear"/>
        <w:spacing w:after="0" w:line="250"/>
        <w:ind w:left="200" w:right="200"/>
      </w:pPr>
      <w:r>
        <w:rPr>
          <w:rFonts w:ascii="Consolas" w:cs="Consolas" w:eastAsia="Consolas" w:hAnsi="Consolas"/>
          <w:sz w:val="18"/>
          <w:szCs w:val="18"/>
        </w:rPr>
        <w:t xml:space="preserve"># 16 raw string variants collapsed -&gt; 4 canonical labels</w:t>
      </w:r>
    </w:p>
    <w:p>
      <w:pPr>
        <w:spacing w:after="240"/>
      </w:pPr>
    </w:p>
    <w:p>
      <w:pPr>
        <w:pStyle w:val="Heading2"/>
      </w:pPr>
      <w:r>
        <w:t xml:space="preserve">5.5 Correcting invalid values</w:t>
      </w:r>
    </w:p>
    <w:p>
      <w:pPr>
        <w:shd w:fill="F2F2F2" w:color="auto" w:val="clear"/>
        <w:spacing w:after="0" w:line="250"/>
        <w:ind w:left="200" w:right="200"/>
      </w:pPr>
      <w:r>
        <w:rPr>
          <w:rFonts w:ascii="Consolas" w:cs="Consolas" w:eastAsia="Consolas" w:hAnsi="Consolas"/>
          <w:sz w:val="18"/>
          <w:szCs w:val="18"/>
        </w:rPr>
        <w:t xml:space="preserve"># Impossible quantities cannot be recovered -&gt; drop (20 rows)</w:t>
      </w:r>
    </w:p>
    <w:p>
      <w:pPr>
        <w:shd w:fill="F2F2F2" w:color="auto" w:val="clear"/>
        <w:spacing w:after="0" w:line="250"/>
        <w:ind w:left="200" w:right="200"/>
      </w:pPr>
      <w:r>
        <w:rPr>
          <w:rFonts w:ascii="Consolas" w:cs="Consolas" w:eastAsia="Consolas" w:hAnsi="Consolas"/>
          <w:sz w:val="18"/>
          <w:szCs w:val="18"/>
        </w:rPr>
        <w:t xml:space="preserve">df = df[df["order_item_quantity"] &gt; 0]</w:t>
      </w:r>
    </w:p>
    <w:p>
      <w:pPr>
        <w:shd w:fill="F2F2F2" w:color="auto" w:val="clear"/>
        <w:spacing w:after="0" w:line="250"/>
        <w:ind w:left="200" w:right="200"/>
      </w:pPr>
      <w:r>
        <w:rPr>
          <w:rFonts w:ascii="Consolas" w:cs="Consolas" w:eastAsia="Consolas" w:hAnsi="Consolas"/>
          <w:sz w:val="18"/>
          <w:szCs w:val="18"/>
        </w:rPr>
        <w:t xml:space="preserve"> </w:t>
      </w:r>
    </w:p>
    <w:p>
      <w:pPr>
        <w:shd w:fill="F2F2F2" w:color="auto" w:val="clear"/>
        <w:spacing w:after="0" w:line="250"/>
        <w:ind w:left="200" w:right="200"/>
      </w:pPr>
      <w:r>
        <w:rPr>
          <w:rFonts w:ascii="Consolas" w:cs="Consolas" w:eastAsia="Consolas" w:hAnsi="Consolas"/>
          <w:sz w:val="18"/>
          <w:szCs w:val="18"/>
        </w:rPr>
        <w:t xml:space="preserve"># shipping_date logged before order_date -&gt; repair using the</w:t>
      </w:r>
    </w:p>
    <w:p>
      <w:pPr>
        <w:shd w:fill="F2F2F2" w:color="auto" w:val="clear"/>
        <w:spacing w:after="0" w:line="250"/>
        <w:ind w:left="200" w:right="200"/>
      </w:pPr>
      <w:r>
        <w:rPr>
          <w:rFonts w:ascii="Consolas" w:cs="Consolas" w:eastAsia="Consolas" w:hAnsi="Consolas"/>
          <w:sz w:val="18"/>
          <w:szCs w:val="18"/>
        </w:rPr>
        <w:t xml:space="preserve"># more trustworthy numeric field instead of discarding (36 rows)</w:t>
      </w:r>
    </w:p>
    <w:p>
      <w:pPr>
        <w:shd w:fill="F2F2F2" w:color="auto" w:val="clear"/>
        <w:spacing w:after="0" w:line="250"/>
        <w:ind w:left="200" w:right="200"/>
      </w:pPr>
      <w:r>
        <w:rPr>
          <w:rFonts w:ascii="Consolas" w:cs="Consolas" w:eastAsia="Consolas" w:hAnsi="Consolas"/>
          <w:sz w:val="18"/>
          <w:szCs w:val="18"/>
        </w:rPr>
        <w:t xml:space="preserve">bad = df["shipping_date"] &lt; df["order_date"]</w:t>
      </w:r>
    </w:p>
    <w:p>
      <w:pPr>
        <w:shd w:fill="F2F2F2" w:color="auto" w:val="clear"/>
        <w:spacing w:after="0" w:line="250"/>
        <w:ind w:left="200" w:right="200"/>
      </w:pPr>
      <w:r>
        <w:rPr>
          <w:rFonts w:ascii="Consolas" w:cs="Consolas" w:eastAsia="Consolas" w:hAnsi="Consolas"/>
          <w:sz w:val="18"/>
          <w:szCs w:val="18"/>
        </w:rPr>
        <w:t xml:space="preserve">df.loc[bad, "shipping_date"] = (df.loc[bad, "order_date"]</w:t>
      </w:r>
    </w:p>
    <w:p>
      <w:pPr>
        <w:pBdr>
          <w:bottom w:val="single" w:color="D9D9D9" w:sz="2"/>
        </w:pBdr>
        <w:shd w:fill="F2F2F2" w:color="auto" w:val="clear"/>
        <w:spacing w:after="0" w:line="250"/>
        <w:ind w:left="200" w:right="200"/>
      </w:pPr>
      <w:r>
        <w:rPr>
          <w:rFonts w:ascii="Consolas" w:cs="Consolas" w:eastAsia="Consolas" w:hAnsi="Consolas"/>
          <w:sz w:val="18"/>
          <w:szCs w:val="18"/>
        </w:rPr>
        <w:t xml:space="preserve">    + pd.to_timedelta(df.loc[bad, "actual_shipping_days"], unit="D"))</w:t>
      </w:r>
    </w:p>
    <w:p>
      <w:pPr>
        <w:spacing w:after="240"/>
      </w:pPr>
    </w:p>
    <w:p>
      <w:pPr>
        <w:pStyle w:val="Heading2"/>
      </w:pPr>
      <w:r>
        <w:t xml:space="preserve">5.6 Outlier detection and treatment (IQR method)</w:t>
      </w:r>
    </w:p>
    <w:p>
      <w:pPr>
        <w:shd w:fill="F2F2F2" w:color="auto" w:val="clear"/>
        <w:spacing w:after="0" w:line="250"/>
        <w:ind w:left="200" w:right="200"/>
      </w:pPr>
      <w:r>
        <w:rPr>
          <w:rFonts w:ascii="Consolas" w:cs="Consolas" w:eastAsia="Consolas" w:hAnsi="Consolas"/>
          <w:sz w:val="18"/>
          <w:szCs w:val="18"/>
        </w:rPr>
        <w:t xml:space="preserve">def iqr_bounds(s):</w:t>
      </w:r>
    </w:p>
    <w:p>
      <w:pPr>
        <w:shd w:fill="F2F2F2" w:color="auto" w:val="clear"/>
        <w:spacing w:after="0" w:line="250"/>
        <w:ind w:left="200" w:right="200"/>
      </w:pPr>
      <w:r>
        <w:rPr>
          <w:rFonts w:ascii="Consolas" w:cs="Consolas" w:eastAsia="Consolas" w:hAnsi="Consolas"/>
          <w:sz w:val="18"/>
          <w:szCs w:val="18"/>
        </w:rPr>
        <w:t xml:space="preserve">    q1, q3 = s.quantile([0.25, 0.75])</w:t>
      </w:r>
    </w:p>
    <w:p>
      <w:pPr>
        <w:shd w:fill="F2F2F2" w:color="auto" w:val="clear"/>
        <w:spacing w:after="0" w:line="250"/>
        <w:ind w:left="200" w:right="200"/>
      </w:pPr>
      <w:r>
        <w:rPr>
          <w:rFonts w:ascii="Consolas" w:cs="Consolas" w:eastAsia="Consolas" w:hAnsi="Consolas"/>
          <w:sz w:val="18"/>
          <w:szCs w:val="18"/>
        </w:rPr>
        <w:t xml:space="preserve">    iqr = q3 - q1</w:t>
      </w:r>
    </w:p>
    <w:p>
      <w:pPr>
        <w:shd w:fill="F2F2F2" w:color="auto" w:val="clear"/>
        <w:spacing w:after="0" w:line="250"/>
        <w:ind w:left="200" w:right="200"/>
      </w:pPr>
      <w:r>
        <w:rPr>
          <w:rFonts w:ascii="Consolas" w:cs="Consolas" w:eastAsia="Consolas" w:hAnsi="Consolas"/>
          <w:sz w:val="18"/>
          <w:szCs w:val="18"/>
        </w:rPr>
        <w:t xml:space="preserve">    return q1 - 1.5 * iqr, q3 + 1.5 * iqr</w:t>
      </w:r>
    </w:p>
    <w:p>
      <w:pPr>
        <w:shd w:fill="F2F2F2" w:color="auto" w:val="clear"/>
        <w:spacing w:after="0" w:line="250"/>
        <w:ind w:left="200" w:right="200"/>
      </w:pPr>
      <w:r>
        <w:rPr>
          <w:rFonts w:ascii="Consolas" w:cs="Consolas" w:eastAsia="Consolas" w:hAnsi="Consolas"/>
          <w:sz w:val="18"/>
          <w:szCs w:val="18"/>
        </w:rPr>
        <w:t xml:space="preserve"> </w:t>
      </w:r>
    </w:p>
    <w:p>
      <w:pPr>
        <w:shd w:fill="F2F2F2" w:color="auto" w:val="clear"/>
        <w:spacing w:after="0" w:line="250"/>
        <w:ind w:left="200" w:right="200"/>
      </w:pPr>
      <w:r>
        <w:rPr>
          <w:rFonts w:ascii="Consolas" w:cs="Consolas" w:eastAsia="Consolas" w:hAnsi="Consolas"/>
          <w:sz w:val="18"/>
          <w:szCs w:val="18"/>
        </w:rPr>
        <w:t xml:space="preserve">low, high = iqr_bounds(df["sales"])</w:t>
      </w:r>
    </w:p>
    <w:p>
      <w:pPr>
        <w:shd w:fill="F2F2F2" w:color="auto" w:val="clear"/>
        <w:spacing w:after="0" w:line="250"/>
        <w:ind w:left="200" w:right="200"/>
      </w:pPr>
      <w:r>
        <w:rPr>
          <w:rFonts w:ascii="Consolas" w:cs="Consolas" w:eastAsia="Consolas" w:hAnsi="Consolas"/>
          <w:sz w:val="18"/>
          <w:szCs w:val="18"/>
        </w:rPr>
        <w:t xml:space="preserve">df["sales_capped"] = df["sales"].clip(lower=low, upper=high)  # 133 capped</w:t>
      </w:r>
    </w:p>
    <w:p>
      <w:pPr>
        <w:shd w:fill="F2F2F2" w:color="auto" w:val="clear"/>
        <w:spacing w:after="0" w:line="250"/>
        <w:ind w:left="200" w:right="200"/>
      </w:pPr>
      <w:r>
        <w:rPr>
          <w:rFonts w:ascii="Consolas" w:cs="Consolas" w:eastAsia="Consolas" w:hAnsi="Consolas"/>
          <w:sz w:val="18"/>
          <w:szCs w:val="18"/>
        </w:rPr>
        <w:t xml:space="preserve"> </w:t>
      </w:r>
    </w:p>
    <w:p>
      <w:pPr>
        <w:shd w:fill="F2F2F2" w:color="auto" w:val="clear"/>
        <w:spacing w:after="0" w:line="250"/>
        <w:ind w:left="200" w:right="200"/>
      </w:pPr>
      <w:r>
        <w:rPr>
          <w:rFonts w:ascii="Consolas" w:cs="Consolas" w:eastAsia="Consolas" w:hAnsi="Consolas"/>
          <w:sz w:val="18"/>
          <w:szCs w:val="18"/>
        </w:rPr>
        <w:t xml:space="preserve">_, high_d = iqr_bounds(df["actual_shipping_days"])</w:t>
      </w:r>
    </w:p>
    <w:p>
      <w:pPr>
        <w:shd w:fill="F2F2F2" w:color="auto" w:val="clear"/>
        <w:spacing w:after="0" w:line="250"/>
        <w:ind w:left="200" w:right="200"/>
      </w:pPr>
      <w:r>
        <w:rPr>
          <w:rFonts w:ascii="Consolas" w:cs="Consolas" w:eastAsia="Consolas" w:hAnsi="Consolas"/>
          <w:sz w:val="18"/>
          <w:szCs w:val="18"/>
        </w:rPr>
        <w:t xml:space="preserve">df["shipping_delay_anomaly"] = (</w:t>
      </w:r>
    </w:p>
    <w:p>
      <w:pPr>
        <w:pBdr>
          <w:bottom w:val="single" w:color="D9D9D9" w:sz="2"/>
        </w:pBdr>
        <w:shd w:fill="F2F2F2" w:color="auto" w:val="clear"/>
        <w:spacing w:after="0" w:line="250"/>
        <w:ind w:left="200" w:right="200"/>
      </w:pPr>
      <w:r>
        <w:rPr>
          <w:rFonts w:ascii="Consolas" w:cs="Consolas" w:eastAsia="Consolas" w:hAnsi="Consolas"/>
          <w:sz w:val="18"/>
          <w:szCs w:val="18"/>
        </w:rPr>
        <w:t xml:space="preserve">    df["actual_shipping_days"] &gt; high_d).astype(int)          # 30 flagged</w:t>
      </w:r>
    </w:p>
    <w:p>
      <w:pPr>
        <w:spacing w:after="240"/>
      </w:pPr>
    </w:p>
    <w:p>
      <w:pPr>
        <w:pStyle w:val="Heading2"/>
      </w:pPr>
      <w:r>
        <w:t xml:space="preserve">5.7 Normalization</w:t>
      </w:r>
    </w:p>
    <w:p>
      <w:pPr>
        <w:shd w:fill="F2F2F2" w:color="auto" w:val="clear"/>
        <w:spacing w:after="0" w:line="250"/>
        <w:ind w:left="200" w:right="200"/>
      </w:pPr>
      <w:r>
        <w:rPr>
          <w:rFonts w:ascii="Consolas" w:cs="Consolas" w:eastAsia="Consolas" w:hAnsi="Consolas"/>
          <w:sz w:val="18"/>
          <w:szCs w:val="18"/>
        </w:rPr>
        <w:t xml:space="preserve">for col, new_col in [("sales_capped", "sales_norm"),</w:t>
      </w:r>
    </w:p>
    <w:p>
      <w:pPr>
        <w:shd w:fill="F2F2F2" w:color="auto" w:val="clear"/>
        <w:spacing w:after="0" w:line="250"/>
        <w:ind w:left="200" w:right="200"/>
      </w:pPr>
      <w:r>
        <w:rPr>
          <w:rFonts w:ascii="Consolas" w:cs="Consolas" w:eastAsia="Consolas" w:hAnsi="Consolas"/>
          <w:sz w:val="18"/>
          <w:szCs w:val="18"/>
        </w:rPr>
        <w:t xml:space="preserve">                      ("actual_shipping_days", "shipping_days_norm")]:</w:t>
      </w:r>
    </w:p>
    <w:p>
      <w:pPr>
        <w:shd w:fill="F2F2F2" w:color="auto" w:val="clear"/>
        <w:spacing w:after="0" w:line="250"/>
        <w:ind w:left="200" w:right="200"/>
      </w:pPr>
      <w:r>
        <w:rPr>
          <w:rFonts w:ascii="Consolas" w:cs="Consolas" w:eastAsia="Consolas" w:hAnsi="Consolas"/>
          <w:sz w:val="18"/>
          <w:szCs w:val="18"/>
        </w:rPr>
        <w:t xml:space="preserve">    mn, mx = df[col].min(), df[col].max()</w:t>
      </w:r>
    </w:p>
    <w:p>
      <w:pPr>
        <w:pBdr>
          <w:bottom w:val="single" w:color="D9D9D9" w:sz="2"/>
        </w:pBdr>
        <w:shd w:fill="F2F2F2" w:color="auto" w:val="clear"/>
        <w:spacing w:after="0" w:line="250"/>
        <w:ind w:left="200" w:right="200"/>
      </w:pPr>
      <w:r>
        <w:rPr>
          <w:rFonts w:ascii="Consolas" w:cs="Consolas" w:eastAsia="Consolas" w:hAnsi="Consolas"/>
          <w:sz w:val="18"/>
          <w:szCs w:val="18"/>
        </w:rPr>
        <w:t xml:space="preserve">    df[new_col] = (df[col] - mn) / (mx - mn)   # rescaled to [0, 1]</w:t>
      </w:r>
    </w:p>
    <w:p>
      <w:pPr>
        <w:spacing w:after="240"/>
      </w:pPr>
    </w:p>
    <w:p>
      <w:pPr>
        <w:pStyle w:val="Heading1"/>
      </w:pPr>
      <w:r>
        <w:t xml:space="preserve">6. Results Summary</w:t>
      </w:r>
    </w:p>
    <w:p>
      <w:pPr>
        <w:spacing w:after="200" w:line="300"/>
      </w:pPr>
      <w:r>
        <w:rPr>
          <w:b w:val="false"/>
          <w:bCs w:val="false"/>
          <w:i w:val="false"/>
          <w:iCs w:val="false"/>
        </w:rPr>
        <w:t xml:space="preserve">The table below compares the working sample before and after the pipeline in Sections 4 and 5.</w:t>
      </w:r>
    </w:p>
    <w:p>
      <w:pPr>
        <w:spacing w:after="240" w:before="80"/>
      </w:pPr>
      <w:r>
        <w:rPr>
          <w:i/>
          <w:iCs/>
          <w:color w:val="595959"/>
          <w:sz w:val="19"/>
          <w:szCs w:val="19"/>
        </w:rPr>
        <w:t xml:space="preserve">Table 3. Raw vs. cleaned dataset, before and after the pipeline.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rPr>
          <w:tblHeader/>
        </w:trPr>
        <w:tc>
          <w:tcPr>
            <w:tcW w:type="dxa" w:w="3600"/>
            <w:shd w:fill="1F4E78" w:color="auto" w:val="clear"/>
            <w:tcMar>
              <w:top w:type="dxa" w:w="80"/>
              <w:left w:type="dxa" w:w="120"/>
              <w:bottom w:type="dxa" w:w="80"/>
              <w:right w:type="dxa" w:w="120"/>
            </w:tcMar>
            <w:vAlign w:val="center"/>
          </w:tcPr>
          <w:p>
            <w:r>
              <w:rPr>
                <w:b/>
                <w:bCs/>
                <w:color w:val="FFFFFF"/>
                <w:sz w:val="19"/>
                <w:szCs w:val="19"/>
              </w:rPr>
              <w:t xml:space="preserve">Metric</w:t>
            </w:r>
          </w:p>
        </w:tc>
        <w:tc>
          <w:tcPr>
            <w:tcW w:type="dxa" w:w="2700"/>
            <w:shd w:fill="1F4E78" w:color="auto" w:val="clear"/>
            <w:tcMar>
              <w:top w:type="dxa" w:w="80"/>
              <w:left w:type="dxa" w:w="120"/>
              <w:bottom w:type="dxa" w:w="80"/>
              <w:right w:type="dxa" w:w="120"/>
            </w:tcMar>
            <w:vAlign w:val="center"/>
          </w:tcPr>
          <w:p>
            <w:r>
              <w:rPr>
                <w:b/>
                <w:bCs/>
                <w:color w:val="FFFFFF"/>
                <w:sz w:val="19"/>
                <w:szCs w:val="19"/>
              </w:rPr>
              <w:t xml:space="preserve">Raw</w:t>
            </w:r>
          </w:p>
        </w:tc>
        <w:tc>
          <w:tcPr>
            <w:tcW w:type="dxa" w:w="2700"/>
            <w:shd w:fill="1F4E78" w:color="auto" w:val="clear"/>
            <w:tcMar>
              <w:top w:type="dxa" w:w="80"/>
              <w:left w:type="dxa" w:w="120"/>
              <w:bottom w:type="dxa" w:w="80"/>
              <w:right w:type="dxa" w:w="120"/>
            </w:tcMar>
            <w:vAlign w:val="center"/>
          </w:tcPr>
          <w:p>
            <w:r>
              <w:rPr>
                <w:b/>
                <w:bCs/>
                <w:color w:val="FFFFFF"/>
                <w:sz w:val="19"/>
                <w:szCs w:val="19"/>
              </w:rPr>
              <w:t xml:space="preserve">Cleaned</w:t>
            </w:r>
          </w:p>
        </w:tc>
      </w:tr>
      <w:tr>
        <w:tc>
          <w:tcPr>
            <w:tcW w:type="dxa" w:w="3600"/>
            <w:tcMar>
              <w:top w:type="dxa" w:w="80"/>
              <w:left w:type="dxa" w:w="120"/>
              <w:bottom w:type="dxa" w:w="80"/>
              <w:right w:type="dxa" w:w="120"/>
            </w:tcMar>
            <w:vAlign w:val="center"/>
          </w:tcPr>
          <w:p>
            <w:r>
              <w:rPr>
                <w:b w:val="false"/>
                <w:bCs w:val="false"/>
                <w:color w:val="000000"/>
                <w:sz w:val="19"/>
                <w:szCs w:val="19"/>
              </w:rPr>
              <w:t xml:space="preserve">Rows</w:t>
            </w:r>
          </w:p>
        </w:tc>
        <w:tc>
          <w:tcPr>
            <w:tcW w:type="dxa" w:w="2700"/>
            <w:tcMar>
              <w:top w:type="dxa" w:w="80"/>
              <w:left w:type="dxa" w:w="120"/>
              <w:bottom w:type="dxa" w:w="80"/>
              <w:right w:type="dxa" w:w="120"/>
            </w:tcMar>
            <w:vAlign w:val="center"/>
          </w:tcPr>
          <w:p>
            <w:r>
              <w:rPr>
                <w:b w:val="false"/>
                <w:bCs w:val="false"/>
                <w:color w:val="000000"/>
                <w:sz w:val="19"/>
                <w:szCs w:val="19"/>
              </w:rPr>
              <w:t xml:space="preserve">4,080</w:t>
            </w:r>
          </w:p>
        </w:tc>
        <w:tc>
          <w:tcPr>
            <w:tcW w:type="dxa" w:w="2700"/>
            <w:tcMar>
              <w:top w:type="dxa" w:w="80"/>
              <w:left w:type="dxa" w:w="120"/>
              <w:bottom w:type="dxa" w:w="80"/>
              <w:right w:type="dxa" w:w="120"/>
            </w:tcMar>
            <w:vAlign w:val="center"/>
          </w:tcPr>
          <w:p>
            <w:r>
              <w:rPr>
                <w:b w:val="false"/>
                <w:bCs w:val="false"/>
                <w:color w:val="000000"/>
                <w:sz w:val="19"/>
                <w:szCs w:val="19"/>
              </w:rPr>
              <w:t xml:space="preserve">3,748</w:t>
            </w:r>
          </w:p>
        </w:tc>
      </w:tr>
      <w:tr>
        <w:tc>
          <w:tcPr>
            <w:tcW w:type="dxa" w:w="3600"/>
            <w:tcMar>
              <w:top w:type="dxa" w:w="80"/>
              <w:left w:type="dxa" w:w="120"/>
              <w:bottom w:type="dxa" w:w="80"/>
              <w:right w:type="dxa" w:w="120"/>
            </w:tcMar>
            <w:vAlign w:val="center"/>
          </w:tcPr>
          <w:p>
            <w:r>
              <w:rPr>
                <w:b w:val="false"/>
                <w:bCs w:val="false"/>
                <w:color w:val="000000"/>
                <w:sz w:val="19"/>
                <w:szCs w:val="19"/>
              </w:rPr>
              <w:t xml:space="preserve">Columns</w:t>
            </w:r>
          </w:p>
        </w:tc>
        <w:tc>
          <w:tcPr>
            <w:tcW w:type="dxa" w:w="2700"/>
            <w:tcMar>
              <w:top w:type="dxa" w:w="80"/>
              <w:left w:type="dxa" w:w="120"/>
              <w:bottom w:type="dxa" w:w="80"/>
              <w:right w:type="dxa" w:w="120"/>
            </w:tcMar>
            <w:vAlign w:val="center"/>
          </w:tcPr>
          <w:p>
            <w:r>
              <w:rPr>
                <w:b w:val="false"/>
                <w:bCs w:val="false"/>
                <w:color w:val="000000"/>
                <w:sz w:val="19"/>
                <w:szCs w:val="19"/>
              </w:rPr>
              <w:t xml:space="preserve">17</w:t>
            </w:r>
          </w:p>
        </w:tc>
        <w:tc>
          <w:tcPr>
            <w:tcW w:type="dxa" w:w="2700"/>
            <w:tcMar>
              <w:top w:type="dxa" w:w="80"/>
              <w:left w:type="dxa" w:w="120"/>
              <w:bottom w:type="dxa" w:w="80"/>
              <w:right w:type="dxa" w:w="120"/>
            </w:tcMar>
            <w:vAlign w:val="center"/>
          </w:tcPr>
          <w:p>
            <w:r>
              <w:rPr>
                <w:b w:val="false"/>
                <w:bCs w:val="false"/>
                <w:color w:val="000000"/>
                <w:sz w:val="19"/>
                <w:szCs w:val="19"/>
              </w:rPr>
              <w:t xml:space="preserve">20 (1 dropped, 4 engineered)</w:t>
            </w:r>
          </w:p>
        </w:tc>
      </w:tr>
      <w:tr>
        <w:tc>
          <w:tcPr>
            <w:tcW w:type="dxa" w:w="3600"/>
            <w:tcMar>
              <w:top w:type="dxa" w:w="80"/>
              <w:left w:type="dxa" w:w="120"/>
              <w:bottom w:type="dxa" w:w="80"/>
              <w:right w:type="dxa" w:w="120"/>
            </w:tcMar>
            <w:vAlign w:val="center"/>
          </w:tcPr>
          <w:p>
            <w:r>
              <w:rPr>
                <w:b w:val="false"/>
                <w:bCs w:val="false"/>
                <w:color w:val="000000"/>
                <w:sz w:val="19"/>
                <w:szCs w:val="19"/>
              </w:rPr>
              <w:t xml:space="preserve">Missing values</w:t>
            </w:r>
          </w:p>
        </w:tc>
        <w:tc>
          <w:tcPr>
            <w:tcW w:type="dxa" w:w="2700"/>
            <w:tcMar>
              <w:top w:type="dxa" w:w="80"/>
              <w:left w:type="dxa" w:w="120"/>
              <w:bottom w:type="dxa" w:w="80"/>
              <w:right w:type="dxa" w:w="120"/>
            </w:tcMar>
            <w:vAlign w:val="center"/>
          </w:tcPr>
          <w:p>
            <w:r>
              <w:rPr>
                <w:b w:val="false"/>
                <w:bCs w:val="false"/>
                <w:color w:val="000000"/>
                <w:sz w:val="19"/>
                <w:szCs w:val="19"/>
              </w:rPr>
              <w:t xml:space="preserve">2,106</w:t>
            </w:r>
          </w:p>
        </w:tc>
        <w:tc>
          <w:tcPr>
            <w:tcW w:type="dxa" w:w="2700"/>
            <w:tcMar>
              <w:top w:type="dxa" w:w="80"/>
              <w:left w:type="dxa" w:w="120"/>
              <w:bottom w:type="dxa" w:w="80"/>
              <w:right w:type="dxa" w:w="120"/>
            </w:tcMar>
            <w:vAlign w:val="center"/>
          </w:tcPr>
          <w:p>
            <w:r>
              <w:rPr>
                <w:b w:val="false"/>
                <w:bCs w:val="false"/>
                <w:color w:val="000000"/>
                <w:sz w:val="19"/>
                <w:szCs w:val="19"/>
              </w:rPr>
              <w:t xml:space="preserve">0</w:t>
            </w:r>
          </w:p>
        </w:tc>
      </w:tr>
      <w:tr>
        <w:tc>
          <w:tcPr>
            <w:tcW w:type="dxa" w:w="3600"/>
            <w:tcMar>
              <w:top w:type="dxa" w:w="80"/>
              <w:left w:type="dxa" w:w="120"/>
              <w:bottom w:type="dxa" w:w="80"/>
              <w:right w:type="dxa" w:w="120"/>
            </w:tcMar>
            <w:vAlign w:val="center"/>
          </w:tcPr>
          <w:p>
            <w:r>
              <w:rPr>
                <w:b w:val="false"/>
                <w:bCs w:val="false"/>
                <w:color w:val="000000"/>
                <w:sz w:val="19"/>
                <w:szCs w:val="19"/>
              </w:rPr>
              <w:t xml:space="preserve">Duplicate rows</w:t>
            </w:r>
          </w:p>
        </w:tc>
        <w:tc>
          <w:tcPr>
            <w:tcW w:type="dxa" w:w="2700"/>
            <w:tcMar>
              <w:top w:type="dxa" w:w="80"/>
              <w:left w:type="dxa" w:w="120"/>
              <w:bottom w:type="dxa" w:w="80"/>
              <w:right w:type="dxa" w:w="120"/>
            </w:tcMar>
            <w:vAlign w:val="center"/>
          </w:tcPr>
          <w:p>
            <w:r>
              <w:rPr>
                <w:b w:val="false"/>
                <w:bCs w:val="false"/>
                <w:color w:val="000000"/>
                <w:sz w:val="19"/>
                <w:szCs w:val="19"/>
              </w:rPr>
              <w:t xml:space="preserve">71</w:t>
            </w:r>
          </w:p>
        </w:tc>
        <w:tc>
          <w:tcPr>
            <w:tcW w:type="dxa" w:w="2700"/>
            <w:tcMar>
              <w:top w:type="dxa" w:w="80"/>
              <w:left w:type="dxa" w:w="120"/>
              <w:bottom w:type="dxa" w:w="80"/>
              <w:right w:type="dxa" w:w="120"/>
            </w:tcMar>
            <w:vAlign w:val="center"/>
          </w:tcPr>
          <w:p>
            <w:r>
              <w:rPr>
                <w:b w:val="false"/>
                <w:bCs w:val="false"/>
                <w:color w:val="000000"/>
                <w:sz w:val="19"/>
                <w:szCs w:val="19"/>
              </w:rPr>
              <w:t xml:space="preserve">0</w:t>
            </w:r>
          </w:p>
        </w:tc>
      </w:tr>
      <w:tr>
        <w:tc>
          <w:tcPr>
            <w:tcW w:type="dxa" w:w="3600"/>
            <w:tcMar>
              <w:top w:type="dxa" w:w="80"/>
              <w:left w:type="dxa" w:w="120"/>
              <w:bottom w:type="dxa" w:w="80"/>
              <w:right w:type="dxa" w:w="120"/>
            </w:tcMar>
            <w:vAlign w:val="center"/>
          </w:tcPr>
          <w:p>
            <w:r>
              <w:rPr>
                <w:b w:val="false"/>
                <w:bCs w:val="false"/>
                <w:color w:val="000000"/>
                <w:sz w:val="19"/>
                <w:szCs w:val="19"/>
              </w:rPr>
              <w:t xml:space="preserve">Distinct shipping_mode labels</w:t>
            </w:r>
          </w:p>
        </w:tc>
        <w:tc>
          <w:tcPr>
            <w:tcW w:type="dxa" w:w="2700"/>
            <w:tcMar>
              <w:top w:type="dxa" w:w="80"/>
              <w:left w:type="dxa" w:w="120"/>
              <w:bottom w:type="dxa" w:w="80"/>
              <w:right w:type="dxa" w:w="120"/>
            </w:tcMar>
            <w:vAlign w:val="center"/>
          </w:tcPr>
          <w:p>
            <w:r>
              <w:rPr>
                <w:b w:val="false"/>
                <w:bCs w:val="false"/>
                <w:color w:val="000000"/>
                <w:sz w:val="19"/>
                <w:szCs w:val="19"/>
              </w:rPr>
              <w:t xml:space="preserve">16</w:t>
            </w:r>
          </w:p>
        </w:tc>
        <w:tc>
          <w:tcPr>
            <w:tcW w:type="dxa" w:w="2700"/>
            <w:tcMar>
              <w:top w:type="dxa" w:w="80"/>
              <w:left w:type="dxa" w:w="120"/>
              <w:bottom w:type="dxa" w:w="80"/>
              <w:right w:type="dxa" w:w="120"/>
            </w:tcMar>
            <w:vAlign w:val="center"/>
          </w:tcPr>
          <w:p>
            <w:r>
              <w:rPr>
                <w:b w:val="false"/>
                <w:bCs w:val="false"/>
                <w:color w:val="000000"/>
                <w:sz w:val="19"/>
                <w:szCs w:val="19"/>
              </w:rPr>
              <w:t xml:space="preserve">4</w:t>
            </w:r>
          </w:p>
        </w:tc>
      </w:tr>
    </w:tbl>
    <w:p>
      <w:pPr>
        <w:spacing w:after="300"/>
      </w:pPr>
    </w:p>
    <w:p>
      <w:pPr>
        <w:pStyle w:val="Heading1"/>
      </w:pPr>
      <w:r>
        <w:t xml:space="preserve">7. Reflection: Impact of Data Quality on Analytics and Decision-Making</w:t>
      </w:r>
    </w:p>
    <w:p>
      <w:pPr>
        <w:spacing w:after="200" w:line="300"/>
      </w:pPr>
      <w:r>
        <w:rPr>
          <w:b w:val="false"/>
          <w:bCs w:val="false"/>
          <w:i w:val="false"/>
          <w:iCs w:val="false"/>
        </w:rPr>
        <w:t xml:space="preserve">Every issue resolved above has a direct analogue in how a logistics team would misread its own operation if it were skipped:</w:t>
      </w:r>
    </w:p>
    <w:p>
      <w:pPr>
        <w:pStyle w:val="ListParagraph"/>
        <w:numPr>
          <w:ilvl w:val="0"/>
          <w:numId w:val="2"/>
        </w:numPr>
        <w:spacing w:after="100" w:line="280"/>
      </w:pPr>
      <w:r>
        <w:t xml:space="preserve">Duplicates inflate volume. Left in place, the 71 duplicate rows in this sample would have overstated order volume by about 1.7% — a small distortion on its own, but one that compounds if it feeds an inventory-forecasting model downstream.</w:t>
      </w:r>
    </w:p>
    <w:p>
      <w:pPr>
        <w:pStyle w:val="ListParagraph"/>
        <w:numPr>
          <w:ilvl w:val="0"/>
          <w:numId w:val="2"/>
        </w:numPr>
        <w:spacing w:after="100" w:line="280"/>
      </w:pPr>
      <w:r>
        <w:t xml:space="preserve">Silent missingness invites false precision. order_zipcode was missing for 42.0% of rows; dropping the column is an honest choice, while imputing a plausible-looking postal code would have quietly manufactured precision in any later delivery-zone cost analysis that no one would think to question.</w:t>
      </w:r>
    </w:p>
    <w:p>
      <w:pPr>
        <w:pStyle w:val="ListParagraph"/>
        <w:numPr>
          <w:ilvl w:val="0"/>
          <w:numId w:val="2"/>
        </w:numPr>
        <w:spacing w:after="100" w:line="280"/>
      </w:pPr>
      <w:r>
        <w:t xml:space="preserve">Unresolved categories fragment KPIs. Before standardization, 16 raw variants of shipping_mode would have made a shipping-cost or delay comparison look like it involved 16 methods instead of 4. Once cleaned, Standard Class alone accounts for 2,204 of 3,748 orders (58.8%) — a pattern that stays invisible until the labels are unified.</w:t>
      </w:r>
    </w:p>
    <w:p>
      <w:pPr>
        <w:pStyle w:val="ListParagraph"/>
        <w:numPr>
          <w:ilvl w:val="0"/>
          <w:numId w:val="2"/>
        </w:numPr>
        <w:spacing w:after="100" w:line="280"/>
      </w:pPr>
      <w:r>
        <w:t xml:space="preserve">How outliers are handled changes what a KPI means. Capping sales limits how much a handful of bulk orders can skew average order value, while flagging — not deleting — the 30 extreme shipping delays keeps a real signal visible: 48.6% of orders in this sample exceed their promised delivery window. Removing those rows instead would have hidden the exact problem an on-time-delivery investigation exists to find.</w:t>
      </w:r>
    </w:p>
    <w:p>
      <w:pPr>
        <w:pStyle w:val="ListParagraph"/>
        <w:numPr>
          <w:ilvl w:val="0"/>
          <w:numId w:val="2"/>
        </w:numPr>
        <w:spacing w:after="100" w:line="280"/>
      </w:pPr>
      <w:r>
        <w:t xml:space="preserve">Unscaled features bias distance-based models. Any clustering or regression step planned for Weeks 3–4 that mixes shipping days (single digits) with sales (hundreds of dollars) would let the larger-scale feature dominate purely because of its units, not its business importance.</w:t>
      </w:r>
    </w:p>
    <w:p>
      <w:pPr>
        <w:spacing w:after="200" w:line="300"/>
      </w:pPr>
      <w:r>
        <w:rPr>
          <w:b w:val="false"/>
          <w:bCs w:val="false"/>
          <w:i w:val="false"/>
          <w:iCs w:val="false"/>
        </w:rPr>
        <w:t xml:space="preserve">The broader takeaway is that cleaning is not a formality performed before "the real analysis" — the decisions made at this stage (drop vs. impute, cap vs. flag, repair vs. discard) directly determine whether the KPIs a logistics team eventually acts on are trustworthy, or quietly wrong in a way that only shows up once a decision has already been made on top of them.</w:t>
      </w:r>
    </w:p>
    <w:p>
      <w:pPr>
        <w:pStyle w:val="Heading1"/>
      </w:pPr>
      <w:r>
        <w:t xml:space="preserve">8. Conclusion</w:t>
      </w:r>
    </w:p>
    <w:p>
      <w:pPr>
        <w:spacing w:after="200" w:line="300"/>
      </w:pPr>
      <w:r>
        <w:rPr>
          <w:b w:val="false"/>
          <w:bCs w:val="false"/>
          <w:i w:val="false"/>
          <w:iCs w:val="false"/>
        </w:rPr>
        <w:t xml:space="preserve">This task carried a simulated logistics dataset through a complete, reproducible preprocessing pipeline: ten distinct data-quality issues were identified with exact counts, each was resolved with a technique chosen for a stated reason rather than a default, and the result is a 3,748-row, fully null-free dataset with standardized categories, corrected invalid entries, treated outliers, and normalized numeric features. This dataset is now in a suitable state to support the descriptive and predictive analysis planned for Weeks 3 and 4 of this internship.</w:t>
      </w:r>
    </w:p>
    <w:p>
      <w:pPr>
        <w:pStyle w:val="Heading1"/>
      </w:pPr>
      <w:r>
        <w:t xml:space="preserve">9. References</w:t>
      </w:r>
    </w:p>
    <w:p>
      <w:pPr>
        <w:spacing w:after="200" w:line="300"/>
      </w:pPr>
      <w:r>
        <w:rPr>
          <w:b w:val="false"/>
          <w:bCs w:val="false"/>
          <w:i w:val="false"/>
          <w:iCs w:val="false"/>
        </w:rPr>
        <w:t xml:space="preserve">DataCo Global. (2019). DataCo Smart Supply Chain for Big Data Analysis [Data set]. Kaggle. https://www.kaggle.com/datasets/shashwatwork/dataco-smart-supply-chain-for-big-data-analysis</w:t>
      </w:r>
    </w:p>
    <w:p>
      <w:pPr>
        <w:spacing w:after="200" w:line="300"/>
      </w:pPr>
      <w:r>
        <w:rPr>
          <w:b w:val="false"/>
          <w:bCs w:val="false"/>
          <w:i w:val="false"/>
          <w:iCs w:val="false"/>
        </w:rPr>
        <w:t xml:space="preserve">Han, J., Kamber, M., &amp; Pei, J. (2011). Data Mining: Concepts and Techniques (3rd ed.), Chapter 3: Data Preprocessing. Morgan Kaufmann.</w:t>
      </w:r>
    </w:p>
    <w:p>
      <w:pPr>
        <w:spacing w:after="200" w:line="300"/>
      </w:pPr>
      <w:r>
        <w:rPr>
          <w:b w:val="false"/>
          <w:bCs w:val="false"/>
          <w:i w:val="false"/>
          <w:iCs w:val="false"/>
        </w:rPr>
        <w:t xml:space="preserve">NIST/SEMATECH. e-Handbook of Statistical Methods, Section 7.1.6, Detection of Outliers. https://www.itl.nist.gov/div898/handbook/</w:t>
      </w:r>
    </w:p>
    <w:p>
      <w:pPr>
        <w:spacing w:after="200" w:line="300"/>
      </w:pPr>
      <w:r>
        <w:rPr>
          <w:b w:val="false"/>
          <w:bCs w:val="false"/>
          <w:i w:val="false"/>
          <w:iCs w:val="false"/>
        </w:rPr>
        <w:t xml:space="preserve">pandas development team. pandas documentation. https://pandas.pydata.org/docs/</w:t>
      </w:r>
    </w:p>
    <w:p>
      <w:pPr>
        <w:spacing w:after="200" w:line="300"/>
      </w:pPr>
      <w:r>
        <w:rPr>
          <w:b w:val="false"/>
          <w:bCs w:val="false"/>
          <w:i w:val="false"/>
          <w:iCs w:val="false"/>
        </w:rPr>
        <w:t xml:space="preserve">scikit-learn developers. Preprocessing data. https://scikit-learn.org/stable/modules/preprocessing.html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r>
      <w:t xml:space="preserve"> /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80"/>
      <w:outlineLvl w:val="0"/>
    </w:pPr>
    <w:rPr>
      <w:rFonts w:ascii="Calibri" w:cs="Calibri" w:eastAsia="Calibri" w:hAnsi="Calibri"/>
      <w:b/>
      <w:bCs/>
      <w:color w:val="1F4E78"/>
      <w:sz w:val="28"/>
      <w:szCs w:val="28"/>
    </w:rPr>
  </w:style>
  <w:style w:type="paragraph" w:styleId="Heading2">
    <w:name w:val="Heading 2"/>
    <w:basedOn w:val="Normal"/>
    <w:next w:val="Normal"/>
    <w:qFormat/>
    <w:pPr>
      <w:spacing w:after="120" w:before="260"/>
      <w:outlineLvl w:val="1"/>
    </w:pPr>
    <w:rPr>
      <w:rFonts w:ascii="Calibri" w:cs="Calibri" w:eastAsia="Calibri" w:hAnsi="Calibri"/>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2026-08-25T21:16:45.199Z</dcterms:created>
  <dcterms:modified xsi:type="dcterms:W3CDTF">2026-08-25T21:16:45.200Z</dcterms:modified>
</cp:coreProperties>
</file>

<file path=docProps/custom.xml><?xml version="1.0" encoding="utf-8"?>
<Properties xmlns="http://schemas.openxmlformats.org/officeDocument/2006/custom-properties" xmlns:vt="http://schemas.openxmlformats.org/officeDocument/2006/docPropsVTypes"/>
</file>