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4DA7" w14:textId="77777777" w:rsidR="00542826" w:rsidRDefault="00542826" w:rsidP="00542826">
      <w:pPr>
        <w:spacing w:after="160"/>
      </w:pPr>
      <w:r>
        <w:rPr>
          <w:b/>
          <w:bCs/>
          <w:color w:val="1F4E78"/>
          <w:sz w:val="40"/>
          <w:szCs w:val="40"/>
        </w:rPr>
        <w:t>Advanced Data Analysis and Visualization in Logistics</w:t>
      </w:r>
    </w:p>
    <w:p w14:paraId="0AF5F037" w14:textId="77777777" w:rsidR="00542826" w:rsidRPr="00542826" w:rsidRDefault="00542826" w:rsidP="00542826">
      <w:pPr>
        <w:spacing w:after="60"/>
        <w:rPr>
          <w:sz w:val="28"/>
          <w:szCs w:val="28"/>
        </w:rPr>
      </w:pPr>
      <w:r w:rsidRPr="00542826">
        <w:rPr>
          <w:color w:val="404040"/>
          <w:sz w:val="28"/>
          <w:szCs w:val="28"/>
        </w:rPr>
        <w:t>Week 3 Task — Logistics Data Analyst Intern</w:t>
      </w:r>
    </w:p>
    <w:p w14:paraId="49C6A2D1" w14:textId="125E2F6B" w:rsidR="00542826" w:rsidRPr="00542826" w:rsidRDefault="00542826" w:rsidP="00542826">
      <w:pPr>
        <w:spacing w:after="60"/>
        <w:rPr>
          <w:sz w:val="24"/>
          <w:szCs w:val="24"/>
        </w:rPr>
      </w:pPr>
      <w:r>
        <w:rPr>
          <w:color w:val="595959"/>
        </w:rPr>
        <w:br/>
      </w:r>
      <w:r w:rsidRPr="00542826">
        <w:rPr>
          <w:b/>
          <w:bCs/>
          <w:sz w:val="24"/>
          <w:szCs w:val="24"/>
        </w:rPr>
        <w:t xml:space="preserve">Prepared by: </w:t>
      </w:r>
      <w:r w:rsidRPr="00542826">
        <w:rPr>
          <w:sz w:val="24"/>
          <w:szCs w:val="24"/>
        </w:rPr>
        <w:t>Ayushman</w:t>
      </w:r>
      <w:r w:rsidRPr="00542826">
        <w:rPr>
          <w:sz w:val="24"/>
          <w:szCs w:val="24"/>
        </w:rPr>
        <w:t xml:space="preserve"> Singh</w:t>
      </w:r>
    </w:p>
    <w:p w14:paraId="6460F893" w14:textId="77777777" w:rsidR="00542826" w:rsidRPr="00542826" w:rsidRDefault="00542826" w:rsidP="00542826">
      <w:pPr>
        <w:spacing w:after="60"/>
        <w:rPr>
          <w:sz w:val="24"/>
          <w:szCs w:val="24"/>
        </w:rPr>
      </w:pPr>
      <w:r w:rsidRPr="00542826">
        <w:rPr>
          <w:b/>
          <w:bCs/>
          <w:sz w:val="24"/>
          <w:szCs w:val="24"/>
        </w:rPr>
        <w:t xml:space="preserve">Date: </w:t>
      </w:r>
      <w:r w:rsidRPr="00542826">
        <w:rPr>
          <w:sz w:val="24"/>
          <w:szCs w:val="24"/>
        </w:rPr>
        <w:t>August 26, 2026</w:t>
      </w:r>
    </w:p>
    <w:p w14:paraId="73789C95" w14:textId="77BA89C9" w:rsidR="00E9742F" w:rsidRPr="00542826" w:rsidRDefault="00542826" w:rsidP="00542826">
      <w:pPr>
        <w:spacing w:after="600"/>
        <w:rPr>
          <w:sz w:val="23"/>
          <w:szCs w:val="23"/>
        </w:rPr>
      </w:pPr>
      <w:r w:rsidRPr="00542826">
        <w:rPr>
          <w:b/>
          <w:bCs/>
          <w:sz w:val="23"/>
          <w:szCs w:val="23"/>
        </w:rPr>
        <w:t xml:space="preserve">Dataset: </w:t>
      </w:r>
      <w:r w:rsidRPr="00542826">
        <w:rPr>
          <w:sz w:val="23"/>
          <w:szCs w:val="23"/>
        </w:rPr>
        <w:t xml:space="preserve">cleaned Week 2 working sample (3,748 orders), </w:t>
      </w:r>
      <w:proofErr w:type="spellStart"/>
      <w:r w:rsidRPr="00542826">
        <w:rPr>
          <w:sz w:val="23"/>
          <w:szCs w:val="23"/>
        </w:rPr>
        <w:t>DataCo</w:t>
      </w:r>
      <w:proofErr w:type="spellEnd"/>
      <w:r w:rsidRPr="00542826">
        <w:rPr>
          <w:sz w:val="23"/>
          <w:szCs w:val="23"/>
        </w:rPr>
        <w:t xml:space="preserve"> Smart Supply Chain reference</w:t>
      </w:r>
    </w:p>
    <w:p w14:paraId="751BEDF9" w14:textId="77777777" w:rsidR="00E9742F" w:rsidRDefault="00E9742F">
      <w:pPr>
        <w:pBdr>
          <w:bottom w:val="single" w:sz="6" w:space="0" w:color="1F4E78"/>
        </w:pBdr>
        <w:spacing w:after="400"/>
      </w:pPr>
    </w:p>
    <w:p w14:paraId="4B854E63" w14:textId="77777777" w:rsidR="00E9742F" w:rsidRDefault="00000000">
      <w:pPr>
        <w:pStyle w:val="Heading1"/>
      </w:pPr>
      <w:r>
        <w:t>1. Objective</w:t>
      </w:r>
    </w:p>
    <w:p w14:paraId="541CF937" w14:textId="77777777" w:rsidR="00E9742F" w:rsidRDefault="00000000">
      <w:pPr>
        <w:spacing w:after="200" w:line="300" w:lineRule="auto"/>
      </w:pPr>
      <w:r>
        <w:t>This report covers the exploratory data analysis and visualization stage of the logistics analytics workflow and continues directly from the data preparation completed in Week 2. The aim is to explore the 3,748-order working sample in Python, look at central tendencies, distributions, and relationships between the main operational variables, and turn those findings into clear visualizations and practical recommendations.</w:t>
      </w:r>
    </w:p>
    <w:p w14:paraId="7691973B" w14:textId="77777777" w:rsidR="00E9742F" w:rsidRDefault="00000000">
      <w:pPr>
        <w:pStyle w:val="Heading1"/>
      </w:pPr>
      <w:r>
        <w:t>2. Data Foundation</w:t>
      </w:r>
    </w:p>
    <w:p w14:paraId="4A63B3FC" w14:textId="77777777" w:rsidR="00E9742F" w:rsidRDefault="00000000">
      <w:pPr>
        <w:pStyle w:val="Heading2"/>
      </w:pPr>
      <w:r>
        <w:t>2.1 Dataset carried forward from Week 2</w:t>
      </w:r>
    </w:p>
    <w:p w14:paraId="6DFCA6A2" w14:textId="77777777" w:rsidR="00E9742F" w:rsidRDefault="00000000">
      <w:pPr>
        <w:spacing w:after="200" w:line="300" w:lineRule="auto"/>
      </w:pPr>
      <w:r>
        <w:t xml:space="preserve">Rather than defining an unrelated hypothetical dataset from scratch, this task builds directly on the cleaned, 3,748-order working sample produced in Week 2 — itself </w:t>
      </w:r>
      <w:proofErr w:type="spellStart"/>
      <w:r>
        <w:t>modeled</w:t>
      </w:r>
      <w:proofErr w:type="spellEnd"/>
      <w:r>
        <w:t xml:space="preserve"> on the </w:t>
      </w:r>
      <w:proofErr w:type="spellStart"/>
      <w:r>
        <w:t>DataCo</w:t>
      </w:r>
      <w:proofErr w:type="spellEnd"/>
      <w:r>
        <w:t xml:space="preserve"> Smart Supply Chain for Big Data Analysis dataset (Kaggle). Carrying the same dataset forward keeps the internship's four weekly tasks consistent with one another: Week 1 planned the analytical approach, Week 2 collected and cleaned the data, and this task now </w:t>
      </w:r>
      <w:proofErr w:type="spellStart"/>
      <w:r>
        <w:t>analyzes</w:t>
      </w:r>
      <w:proofErr w:type="spellEnd"/>
      <w:r>
        <w:t xml:space="preserve"> it.</w:t>
      </w:r>
    </w:p>
    <w:p w14:paraId="109177C3" w14:textId="77777777" w:rsidR="00E9742F" w:rsidRDefault="00000000">
      <w:pPr>
        <w:pStyle w:val="Heading2"/>
      </w:pPr>
      <w:r>
        <w:t xml:space="preserve">2.2 New variable: </w:t>
      </w:r>
      <w:proofErr w:type="spellStart"/>
      <w:r>
        <w:t>transportation_cost</w:t>
      </w:r>
      <w:proofErr w:type="spellEnd"/>
    </w:p>
    <w:p w14:paraId="37AC1E53" w14:textId="77777777" w:rsidR="00E9742F" w:rsidRDefault="00000000">
      <w:pPr>
        <w:spacing w:after="200" w:line="300" w:lineRule="auto"/>
      </w:pPr>
      <w:r>
        <w:t>The Week 3 brief highlights delivery times, shipment volumes, and transportation costs as the main variables to examine. The Week 2 schema already included delivery time (</w:t>
      </w:r>
      <w:proofErr w:type="spellStart"/>
      <w:r>
        <w:t>actual_shipping_days</w:t>
      </w:r>
      <w:proofErr w:type="spellEnd"/>
      <w:r>
        <w:t>) and shipment volume (</w:t>
      </w:r>
      <w:proofErr w:type="spellStart"/>
      <w:r>
        <w:t>order_item_quantity</w:t>
      </w:r>
      <w:proofErr w:type="spellEnd"/>
      <w:r>
        <w:t xml:space="preserve">), but not a shipping-cost figure, so I added a </w:t>
      </w:r>
      <w:proofErr w:type="spellStart"/>
      <w:r>
        <w:t>transportation_cost</w:t>
      </w:r>
      <w:proofErr w:type="spellEnd"/>
      <w:r>
        <w:t xml:space="preserve"> variable using:</w:t>
      </w:r>
    </w:p>
    <w:p w14:paraId="61142F9D" w14:textId="77777777" w:rsidR="00E9742F" w:rsidRDefault="00000000">
      <w:pPr>
        <w:spacing w:after="200" w:line="300" w:lineRule="auto"/>
      </w:pPr>
      <w:proofErr w:type="spellStart"/>
      <w:r>
        <w:rPr>
          <w:i/>
          <w:iCs/>
        </w:rPr>
        <w:t>transportation_cost</w:t>
      </w:r>
      <w:proofErr w:type="spellEnd"/>
      <w:r>
        <w:rPr>
          <w:i/>
          <w:iCs/>
        </w:rPr>
        <w:t xml:space="preserve"> = </w:t>
      </w:r>
      <w:proofErr w:type="spellStart"/>
      <w:r>
        <w:rPr>
          <w:i/>
          <w:iCs/>
        </w:rPr>
        <w:t>base_rate</w:t>
      </w:r>
      <w:proofErr w:type="spellEnd"/>
      <w:r>
        <w:rPr>
          <w:i/>
          <w:iCs/>
        </w:rPr>
        <w:t>[</w:t>
      </w:r>
      <w:proofErr w:type="spellStart"/>
      <w:r>
        <w:rPr>
          <w:i/>
          <w:iCs/>
        </w:rPr>
        <w:t>shipping_mode</w:t>
      </w:r>
      <w:proofErr w:type="spellEnd"/>
      <w:r>
        <w:rPr>
          <w:i/>
          <w:iCs/>
        </w:rPr>
        <w:t xml:space="preserve">] + $2.50 × </w:t>
      </w:r>
      <w:proofErr w:type="spellStart"/>
      <w:r>
        <w:rPr>
          <w:i/>
          <w:iCs/>
        </w:rPr>
        <w:t>order_item_quantity</w:t>
      </w:r>
      <w:proofErr w:type="spellEnd"/>
      <w:r>
        <w:rPr>
          <w:i/>
          <w:iCs/>
        </w:rPr>
        <w:t xml:space="preserve"> + </w:t>
      </w:r>
      <w:proofErr w:type="spellStart"/>
      <w:r>
        <w:rPr>
          <w:i/>
          <w:iCs/>
        </w:rPr>
        <w:t>market_surcharge</w:t>
      </w:r>
      <w:proofErr w:type="spellEnd"/>
      <w:r>
        <w:rPr>
          <w:i/>
          <w:iCs/>
        </w:rPr>
        <w:t>[market] + noise</w:t>
      </w:r>
    </w:p>
    <w:p w14:paraId="5E739597" w14:textId="77777777" w:rsidR="00E9742F" w:rsidRDefault="00000000">
      <w:pPr>
        <w:pStyle w:val="ListParagraph"/>
        <w:numPr>
          <w:ilvl w:val="0"/>
          <w:numId w:val="2"/>
        </w:numPr>
        <w:spacing w:after="100" w:line="280" w:lineRule="auto"/>
      </w:pPr>
      <w:proofErr w:type="spellStart"/>
      <w:r>
        <w:t>base_rate</w:t>
      </w:r>
      <w:proofErr w:type="spellEnd"/>
      <w:r>
        <w:t xml:space="preserve"> ranges from $8 (Standard Class) to $25 (Same Day), reflecting typical service-tier pricing.</w:t>
      </w:r>
    </w:p>
    <w:p w14:paraId="133EAFDA" w14:textId="77777777" w:rsidR="00E9742F" w:rsidRDefault="00000000">
      <w:pPr>
        <w:pStyle w:val="ListParagraph"/>
        <w:numPr>
          <w:ilvl w:val="0"/>
          <w:numId w:val="2"/>
        </w:numPr>
        <w:spacing w:after="100" w:line="280" w:lineRule="auto"/>
      </w:pPr>
      <w:proofErr w:type="spellStart"/>
      <w:r>
        <w:t>market_surcharge</w:t>
      </w:r>
      <w:proofErr w:type="spellEnd"/>
      <w:r>
        <w:t xml:space="preserve"> ranges from $3 (USCA) to $8 (Africa), as a simple proxy for distance and customs complexity.</w:t>
      </w:r>
    </w:p>
    <w:p w14:paraId="66ED0A8C" w14:textId="77777777" w:rsidR="00E9742F" w:rsidRDefault="00000000">
      <w:pPr>
        <w:pStyle w:val="ListParagraph"/>
        <w:numPr>
          <w:ilvl w:val="0"/>
          <w:numId w:val="2"/>
        </w:numPr>
        <w:spacing w:after="100" w:line="280" w:lineRule="auto"/>
      </w:pPr>
      <w:r>
        <w:t xml:space="preserve">noise ~ </w:t>
      </w:r>
      <w:proofErr w:type="gramStart"/>
      <w:r>
        <w:t>Normal(</w:t>
      </w:r>
      <w:proofErr w:type="gramEnd"/>
      <w:r>
        <w:t>0, 3) adds order-to-order variation; the final value is floored at $5.</w:t>
      </w:r>
    </w:p>
    <w:p w14:paraId="2EBA7A39" w14:textId="77777777" w:rsidR="00E9742F" w:rsidRDefault="00000000">
      <w:pPr>
        <w:spacing w:after="200" w:line="300" w:lineRule="auto"/>
      </w:pPr>
      <w:r>
        <w:lastRenderedPageBreak/>
        <w:t xml:space="preserve">Across the 3,748 orders, this produced a </w:t>
      </w:r>
      <w:proofErr w:type="spellStart"/>
      <w:r>
        <w:t>transportation_cost</w:t>
      </w:r>
      <w:proofErr w:type="spellEnd"/>
      <w:r>
        <w:t xml:space="preserve"> ranging from $5.00 to $50.97, with a mean of $25.05 — a plausible spread for the exercise.</w:t>
      </w:r>
    </w:p>
    <w:p w14:paraId="42EF9C9F" w14:textId="77777777" w:rsidR="00E9742F" w:rsidRDefault="00000000">
      <w:pPr>
        <w:pStyle w:val="Heading1"/>
      </w:pPr>
      <w:r>
        <w:t>3. Exploratory Data Analysis</w:t>
      </w:r>
    </w:p>
    <w:p w14:paraId="7D585746" w14:textId="77777777" w:rsidR="00E9742F" w:rsidRDefault="00000000">
      <w:pPr>
        <w:pStyle w:val="Heading2"/>
      </w:pPr>
      <w:r>
        <w:t>3.1 Descriptive statistics</w:t>
      </w:r>
    </w:p>
    <w:p w14:paraId="41191EA0" w14:textId="77777777" w:rsidR="00E9742F" w:rsidRDefault="00000000">
      <w:pPr>
        <w:spacing w:after="200" w:line="300" w:lineRule="auto"/>
      </w:pPr>
      <w:r>
        <w:t>Central tendency and spread were computed for the five key numeric variables:</w:t>
      </w:r>
    </w:p>
    <w:p w14:paraId="7BB8C640" w14:textId="77777777" w:rsidR="00E9742F" w:rsidRDefault="00000000">
      <w:pPr>
        <w:spacing w:before="80" w:after="240"/>
        <w:jc w:val="center"/>
      </w:pPr>
      <w:r>
        <w:rPr>
          <w:i/>
          <w:iCs/>
          <w:color w:val="595959"/>
          <w:sz w:val="19"/>
          <w:szCs w:val="19"/>
        </w:rPr>
        <w:t>Table 1. Descriptive statistics for key numeric variables (n = 3,748).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50"/>
        <w:gridCol w:w="1250"/>
        <w:gridCol w:w="1250"/>
        <w:gridCol w:w="1400"/>
        <w:gridCol w:w="1450"/>
      </w:tblGrid>
      <w:tr w:rsidR="00E9742F" w14:paraId="3975AC1D" w14:textId="77777777">
        <w:tblPrEx>
          <w:tblCellMar>
            <w:top w:w="0" w:type="dxa"/>
            <w:bottom w:w="0" w:type="dxa"/>
          </w:tblCellMar>
        </w:tblPrEx>
        <w:trPr>
          <w:tblHeader/>
        </w:trPr>
        <w:tc>
          <w:tcPr>
            <w:tcW w:w="2400" w:type="dxa"/>
            <w:shd w:val="clear" w:color="auto" w:fill="1F4E78"/>
            <w:tcMar>
              <w:top w:w="80" w:type="dxa"/>
              <w:left w:w="120" w:type="dxa"/>
              <w:bottom w:w="80" w:type="dxa"/>
              <w:right w:w="120" w:type="dxa"/>
            </w:tcMar>
            <w:vAlign w:val="center"/>
          </w:tcPr>
          <w:p w14:paraId="7A9A7531" w14:textId="77777777" w:rsidR="00E9742F" w:rsidRDefault="00000000">
            <w:r>
              <w:rPr>
                <w:b/>
                <w:bCs/>
                <w:color w:val="FFFFFF"/>
                <w:sz w:val="19"/>
                <w:szCs w:val="19"/>
              </w:rPr>
              <w:t>Variable</w:t>
            </w:r>
          </w:p>
        </w:tc>
        <w:tc>
          <w:tcPr>
            <w:tcW w:w="1250" w:type="dxa"/>
            <w:shd w:val="clear" w:color="auto" w:fill="1F4E78"/>
            <w:tcMar>
              <w:top w:w="80" w:type="dxa"/>
              <w:left w:w="120" w:type="dxa"/>
              <w:bottom w:w="80" w:type="dxa"/>
              <w:right w:w="120" w:type="dxa"/>
            </w:tcMar>
            <w:vAlign w:val="center"/>
          </w:tcPr>
          <w:p w14:paraId="128EC107" w14:textId="77777777" w:rsidR="00E9742F" w:rsidRDefault="00000000">
            <w:r>
              <w:rPr>
                <w:b/>
                <w:bCs/>
                <w:color w:val="FFFFFF"/>
                <w:sz w:val="19"/>
                <w:szCs w:val="19"/>
              </w:rPr>
              <w:t>Mean</w:t>
            </w:r>
          </w:p>
        </w:tc>
        <w:tc>
          <w:tcPr>
            <w:tcW w:w="1250" w:type="dxa"/>
            <w:shd w:val="clear" w:color="auto" w:fill="1F4E78"/>
            <w:tcMar>
              <w:top w:w="80" w:type="dxa"/>
              <w:left w:w="120" w:type="dxa"/>
              <w:bottom w:w="80" w:type="dxa"/>
              <w:right w:w="120" w:type="dxa"/>
            </w:tcMar>
            <w:vAlign w:val="center"/>
          </w:tcPr>
          <w:p w14:paraId="098FF67F" w14:textId="77777777" w:rsidR="00E9742F" w:rsidRDefault="00000000">
            <w:r>
              <w:rPr>
                <w:b/>
                <w:bCs/>
                <w:color w:val="FFFFFF"/>
                <w:sz w:val="19"/>
                <w:szCs w:val="19"/>
              </w:rPr>
              <w:t>Median</w:t>
            </w:r>
          </w:p>
        </w:tc>
        <w:tc>
          <w:tcPr>
            <w:tcW w:w="1250" w:type="dxa"/>
            <w:shd w:val="clear" w:color="auto" w:fill="1F4E78"/>
            <w:tcMar>
              <w:top w:w="80" w:type="dxa"/>
              <w:left w:w="120" w:type="dxa"/>
              <w:bottom w:w="80" w:type="dxa"/>
              <w:right w:w="120" w:type="dxa"/>
            </w:tcMar>
            <w:vAlign w:val="center"/>
          </w:tcPr>
          <w:p w14:paraId="72F02E84" w14:textId="77777777" w:rsidR="00E9742F" w:rsidRDefault="00000000">
            <w:r>
              <w:rPr>
                <w:b/>
                <w:bCs/>
                <w:color w:val="FFFFFF"/>
                <w:sz w:val="19"/>
                <w:szCs w:val="19"/>
              </w:rPr>
              <w:t>Std Dev</w:t>
            </w:r>
          </w:p>
        </w:tc>
        <w:tc>
          <w:tcPr>
            <w:tcW w:w="1400" w:type="dxa"/>
            <w:shd w:val="clear" w:color="auto" w:fill="1F4E78"/>
            <w:tcMar>
              <w:top w:w="80" w:type="dxa"/>
              <w:left w:w="120" w:type="dxa"/>
              <w:bottom w:w="80" w:type="dxa"/>
              <w:right w:w="120" w:type="dxa"/>
            </w:tcMar>
            <w:vAlign w:val="center"/>
          </w:tcPr>
          <w:p w14:paraId="033569A1" w14:textId="77777777" w:rsidR="00E9742F" w:rsidRDefault="00000000">
            <w:r>
              <w:rPr>
                <w:b/>
                <w:bCs/>
                <w:color w:val="FFFFFF"/>
                <w:sz w:val="19"/>
                <w:szCs w:val="19"/>
              </w:rPr>
              <w:t>Min</w:t>
            </w:r>
          </w:p>
        </w:tc>
        <w:tc>
          <w:tcPr>
            <w:tcW w:w="1450" w:type="dxa"/>
            <w:shd w:val="clear" w:color="auto" w:fill="1F4E78"/>
            <w:tcMar>
              <w:top w:w="80" w:type="dxa"/>
              <w:left w:w="120" w:type="dxa"/>
              <w:bottom w:w="80" w:type="dxa"/>
              <w:right w:w="120" w:type="dxa"/>
            </w:tcMar>
            <w:vAlign w:val="center"/>
          </w:tcPr>
          <w:p w14:paraId="3321F9B7" w14:textId="77777777" w:rsidR="00E9742F" w:rsidRDefault="00000000">
            <w:r>
              <w:rPr>
                <w:b/>
                <w:bCs/>
                <w:color w:val="FFFFFF"/>
                <w:sz w:val="19"/>
                <w:szCs w:val="19"/>
              </w:rPr>
              <w:t>Max</w:t>
            </w:r>
          </w:p>
        </w:tc>
      </w:tr>
      <w:tr w:rsidR="00E9742F" w14:paraId="4B7C0088" w14:textId="77777777">
        <w:tblPrEx>
          <w:tblCellMar>
            <w:top w:w="0" w:type="dxa"/>
            <w:bottom w:w="0" w:type="dxa"/>
          </w:tblCellMar>
        </w:tblPrEx>
        <w:tc>
          <w:tcPr>
            <w:tcW w:w="2400" w:type="dxa"/>
            <w:tcMar>
              <w:top w:w="80" w:type="dxa"/>
              <w:left w:w="120" w:type="dxa"/>
              <w:bottom w:w="80" w:type="dxa"/>
              <w:right w:w="120" w:type="dxa"/>
            </w:tcMar>
            <w:vAlign w:val="center"/>
          </w:tcPr>
          <w:p w14:paraId="72589BB7" w14:textId="77777777" w:rsidR="00E9742F" w:rsidRDefault="00000000">
            <w:r>
              <w:rPr>
                <w:color w:val="000000"/>
                <w:sz w:val="19"/>
                <w:szCs w:val="19"/>
              </w:rPr>
              <w:t>Delivery time (days)</w:t>
            </w:r>
          </w:p>
        </w:tc>
        <w:tc>
          <w:tcPr>
            <w:tcW w:w="1250" w:type="dxa"/>
            <w:tcMar>
              <w:top w:w="80" w:type="dxa"/>
              <w:left w:w="120" w:type="dxa"/>
              <w:bottom w:w="80" w:type="dxa"/>
              <w:right w:w="120" w:type="dxa"/>
            </w:tcMar>
            <w:vAlign w:val="center"/>
          </w:tcPr>
          <w:p w14:paraId="4C5AAAC0" w14:textId="77777777" w:rsidR="00E9742F" w:rsidRDefault="00000000">
            <w:r>
              <w:rPr>
                <w:color w:val="000000"/>
                <w:sz w:val="19"/>
                <w:szCs w:val="19"/>
              </w:rPr>
              <w:t>3.92</w:t>
            </w:r>
          </w:p>
        </w:tc>
        <w:tc>
          <w:tcPr>
            <w:tcW w:w="1250" w:type="dxa"/>
            <w:tcMar>
              <w:top w:w="80" w:type="dxa"/>
              <w:left w:w="120" w:type="dxa"/>
              <w:bottom w:w="80" w:type="dxa"/>
              <w:right w:w="120" w:type="dxa"/>
            </w:tcMar>
            <w:vAlign w:val="center"/>
          </w:tcPr>
          <w:p w14:paraId="4D55578C" w14:textId="77777777" w:rsidR="00E9742F" w:rsidRDefault="00000000">
            <w:r>
              <w:rPr>
                <w:color w:val="000000"/>
                <w:sz w:val="19"/>
                <w:szCs w:val="19"/>
              </w:rPr>
              <w:t>3.00</w:t>
            </w:r>
          </w:p>
        </w:tc>
        <w:tc>
          <w:tcPr>
            <w:tcW w:w="1250" w:type="dxa"/>
            <w:tcMar>
              <w:top w:w="80" w:type="dxa"/>
              <w:left w:w="120" w:type="dxa"/>
              <w:bottom w:w="80" w:type="dxa"/>
              <w:right w:w="120" w:type="dxa"/>
            </w:tcMar>
            <w:vAlign w:val="center"/>
          </w:tcPr>
          <w:p w14:paraId="5E0C80DB" w14:textId="77777777" w:rsidR="00E9742F" w:rsidRDefault="00000000">
            <w:r>
              <w:rPr>
                <w:color w:val="000000"/>
                <w:sz w:val="19"/>
                <w:szCs w:val="19"/>
              </w:rPr>
              <w:t>6.13</w:t>
            </w:r>
          </w:p>
        </w:tc>
        <w:tc>
          <w:tcPr>
            <w:tcW w:w="1400" w:type="dxa"/>
            <w:tcMar>
              <w:top w:w="80" w:type="dxa"/>
              <w:left w:w="120" w:type="dxa"/>
              <w:bottom w:w="80" w:type="dxa"/>
              <w:right w:w="120" w:type="dxa"/>
            </w:tcMar>
            <w:vAlign w:val="center"/>
          </w:tcPr>
          <w:p w14:paraId="20B83A16" w14:textId="77777777" w:rsidR="00E9742F" w:rsidRDefault="00000000">
            <w:r>
              <w:rPr>
                <w:color w:val="000000"/>
                <w:sz w:val="19"/>
                <w:szCs w:val="19"/>
              </w:rPr>
              <w:t>1.00</w:t>
            </w:r>
          </w:p>
        </w:tc>
        <w:tc>
          <w:tcPr>
            <w:tcW w:w="1450" w:type="dxa"/>
            <w:tcMar>
              <w:top w:w="80" w:type="dxa"/>
              <w:left w:w="120" w:type="dxa"/>
              <w:bottom w:w="80" w:type="dxa"/>
              <w:right w:w="120" w:type="dxa"/>
            </w:tcMar>
            <w:vAlign w:val="center"/>
          </w:tcPr>
          <w:p w14:paraId="56992061" w14:textId="77777777" w:rsidR="00E9742F" w:rsidRDefault="00000000">
            <w:r>
              <w:rPr>
                <w:color w:val="000000"/>
                <w:sz w:val="19"/>
                <w:szCs w:val="19"/>
              </w:rPr>
              <w:t>90.00</w:t>
            </w:r>
          </w:p>
        </w:tc>
      </w:tr>
      <w:tr w:rsidR="00E9742F" w14:paraId="1C9B7A08" w14:textId="77777777">
        <w:tblPrEx>
          <w:tblCellMar>
            <w:top w:w="0" w:type="dxa"/>
            <w:bottom w:w="0" w:type="dxa"/>
          </w:tblCellMar>
        </w:tblPrEx>
        <w:tc>
          <w:tcPr>
            <w:tcW w:w="2400" w:type="dxa"/>
            <w:tcMar>
              <w:top w:w="80" w:type="dxa"/>
              <w:left w:w="120" w:type="dxa"/>
              <w:bottom w:w="80" w:type="dxa"/>
              <w:right w:w="120" w:type="dxa"/>
            </w:tcMar>
            <w:vAlign w:val="center"/>
          </w:tcPr>
          <w:p w14:paraId="6F2D2C55" w14:textId="77777777" w:rsidR="00E9742F" w:rsidRDefault="00000000">
            <w:r>
              <w:rPr>
                <w:color w:val="000000"/>
                <w:sz w:val="19"/>
                <w:szCs w:val="19"/>
              </w:rPr>
              <w:t>Order value / sales (USD)</w:t>
            </w:r>
          </w:p>
        </w:tc>
        <w:tc>
          <w:tcPr>
            <w:tcW w:w="1250" w:type="dxa"/>
            <w:tcMar>
              <w:top w:w="80" w:type="dxa"/>
              <w:left w:w="120" w:type="dxa"/>
              <w:bottom w:w="80" w:type="dxa"/>
              <w:right w:w="120" w:type="dxa"/>
            </w:tcMar>
            <w:vAlign w:val="center"/>
          </w:tcPr>
          <w:p w14:paraId="330AAB4C" w14:textId="77777777" w:rsidR="00E9742F" w:rsidRDefault="00000000">
            <w:r>
              <w:rPr>
                <w:color w:val="000000"/>
                <w:sz w:val="19"/>
                <w:szCs w:val="19"/>
              </w:rPr>
              <w:t>119.67</w:t>
            </w:r>
          </w:p>
        </w:tc>
        <w:tc>
          <w:tcPr>
            <w:tcW w:w="1250" w:type="dxa"/>
            <w:tcMar>
              <w:top w:w="80" w:type="dxa"/>
              <w:left w:w="120" w:type="dxa"/>
              <w:bottom w:w="80" w:type="dxa"/>
              <w:right w:w="120" w:type="dxa"/>
            </w:tcMar>
            <w:vAlign w:val="center"/>
          </w:tcPr>
          <w:p w14:paraId="3B5A442C" w14:textId="77777777" w:rsidR="00E9742F" w:rsidRDefault="00000000">
            <w:r>
              <w:rPr>
                <w:color w:val="000000"/>
                <w:sz w:val="19"/>
                <w:szCs w:val="19"/>
              </w:rPr>
              <w:t>101.10</w:t>
            </w:r>
          </w:p>
        </w:tc>
        <w:tc>
          <w:tcPr>
            <w:tcW w:w="1250" w:type="dxa"/>
            <w:tcMar>
              <w:top w:w="80" w:type="dxa"/>
              <w:left w:w="120" w:type="dxa"/>
              <w:bottom w:w="80" w:type="dxa"/>
              <w:right w:w="120" w:type="dxa"/>
            </w:tcMar>
            <w:vAlign w:val="center"/>
          </w:tcPr>
          <w:p w14:paraId="10F6235B" w14:textId="77777777" w:rsidR="00E9742F" w:rsidRDefault="00000000">
            <w:r>
              <w:rPr>
                <w:color w:val="000000"/>
                <w:sz w:val="19"/>
                <w:szCs w:val="19"/>
              </w:rPr>
              <w:t>79.31</w:t>
            </w:r>
          </w:p>
        </w:tc>
        <w:tc>
          <w:tcPr>
            <w:tcW w:w="1400" w:type="dxa"/>
            <w:tcMar>
              <w:top w:w="80" w:type="dxa"/>
              <w:left w:w="120" w:type="dxa"/>
              <w:bottom w:w="80" w:type="dxa"/>
              <w:right w:w="120" w:type="dxa"/>
            </w:tcMar>
            <w:vAlign w:val="center"/>
          </w:tcPr>
          <w:p w14:paraId="4DB70597" w14:textId="77777777" w:rsidR="00E9742F" w:rsidRDefault="00000000">
            <w:r>
              <w:rPr>
                <w:color w:val="000000"/>
                <w:sz w:val="19"/>
                <w:szCs w:val="19"/>
              </w:rPr>
              <w:t>1.67</w:t>
            </w:r>
          </w:p>
        </w:tc>
        <w:tc>
          <w:tcPr>
            <w:tcW w:w="1450" w:type="dxa"/>
            <w:tcMar>
              <w:top w:w="80" w:type="dxa"/>
              <w:left w:w="120" w:type="dxa"/>
              <w:bottom w:w="80" w:type="dxa"/>
              <w:right w:w="120" w:type="dxa"/>
            </w:tcMar>
            <w:vAlign w:val="center"/>
          </w:tcPr>
          <w:p w14:paraId="015E6027" w14:textId="77777777" w:rsidR="00E9742F" w:rsidRDefault="00000000">
            <w:r>
              <w:rPr>
                <w:color w:val="000000"/>
                <w:sz w:val="19"/>
                <w:szCs w:val="19"/>
              </w:rPr>
              <w:t>322.67</w:t>
            </w:r>
          </w:p>
        </w:tc>
      </w:tr>
      <w:tr w:rsidR="00E9742F" w14:paraId="5BD49436" w14:textId="77777777">
        <w:tblPrEx>
          <w:tblCellMar>
            <w:top w:w="0" w:type="dxa"/>
            <w:bottom w:w="0" w:type="dxa"/>
          </w:tblCellMar>
        </w:tblPrEx>
        <w:tc>
          <w:tcPr>
            <w:tcW w:w="2400" w:type="dxa"/>
            <w:tcMar>
              <w:top w:w="80" w:type="dxa"/>
              <w:left w:w="120" w:type="dxa"/>
              <w:bottom w:w="80" w:type="dxa"/>
              <w:right w:w="120" w:type="dxa"/>
            </w:tcMar>
            <w:vAlign w:val="center"/>
          </w:tcPr>
          <w:p w14:paraId="13A551C9" w14:textId="77777777" w:rsidR="00E9742F" w:rsidRDefault="00000000">
            <w:r>
              <w:rPr>
                <w:color w:val="000000"/>
                <w:sz w:val="19"/>
                <w:szCs w:val="19"/>
              </w:rPr>
              <w:t>Transportation cost (USD)</w:t>
            </w:r>
          </w:p>
        </w:tc>
        <w:tc>
          <w:tcPr>
            <w:tcW w:w="1250" w:type="dxa"/>
            <w:tcMar>
              <w:top w:w="80" w:type="dxa"/>
              <w:left w:w="120" w:type="dxa"/>
              <w:bottom w:w="80" w:type="dxa"/>
              <w:right w:w="120" w:type="dxa"/>
            </w:tcMar>
            <w:vAlign w:val="center"/>
          </w:tcPr>
          <w:p w14:paraId="483F58EF" w14:textId="77777777" w:rsidR="00E9742F" w:rsidRDefault="00000000">
            <w:r>
              <w:rPr>
                <w:color w:val="000000"/>
                <w:sz w:val="19"/>
                <w:szCs w:val="19"/>
              </w:rPr>
              <w:t>25.05</w:t>
            </w:r>
          </w:p>
        </w:tc>
        <w:tc>
          <w:tcPr>
            <w:tcW w:w="1250" w:type="dxa"/>
            <w:tcMar>
              <w:top w:w="80" w:type="dxa"/>
              <w:left w:w="120" w:type="dxa"/>
              <w:bottom w:w="80" w:type="dxa"/>
              <w:right w:w="120" w:type="dxa"/>
            </w:tcMar>
            <w:vAlign w:val="center"/>
          </w:tcPr>
          <w:p w14:paraId="4143A0E7" w14:textId="77777777" w:rsidR="00E9742F" w:rsidRDefault="00000000">
            <w:r>
              <w:rPr>
                <w:color w:val="000000"/>
                <w:sz w:val="19"/>
                <w:szCs w:val="19"/>
              </w:rPr>
              <w:t>24.41</w:t>
            </w:r>
          </w:p>
        </w:tc>
        <w:tc>
          <w:tcPr>
            <w:tcW w:w="1250" w:type="dxa"/>
            <w:tcMar>
              <w:top w:w="80" w:type="dxa"/>
              <w:left w:w="120" w:type="dxa"/>
              <w:bottom w:w="80" w:type="dxa"/>
              <w:right w:w="120" w:type="dxa"/>
            </w:tcMar>
            <w:vAlign w:val="center"/>
          </w:tcPr>
          <w:p w14:paraId="5A80986E" w14:textId="77777777" w:rsidR="00E9742F" w:rsidRDefault="00000000">
            <w:r>
              <w:rPr>
                <w:color w:val="000000"/>
                <w:sz w:val="19"/>
                <w:szCs w:val="19"/>
              </w:rPr>
              <w:t>7.47</w:t>
            </w:r>
          </w:p>
        </w:tc>
        <w:tc>
          <w:tcPr>
            <w:tcW w:w="1400" w:type="dxa"/>
            <w:tcMar>
              <w:top w:w="80" w:type="dxa"/>
              <w:left w:w="120" w:type="dxa"/>
              <w:bottom w:w="80" w:type="dxa"/>
              <w:right w:w="120" w:type="dxa"/>
            </w:tcMar>
            <w:vAlign w:val="center"/>
          </w:tcPr>
          <w:p w14:paraId="12649DFD" w14:textId="77777777" w:rsidR="00E9742F" w:rsidRDefault="00000000">
            <w:r>
              <w:rPr>
                <w:color w:val="000000"/>
                <w:sz w:val="19"/>
                <w:szCs w:val="19"/>
              </w:rPr>
              <w:t>5.00</w:t>
            </w:r>
          </w:p>
        </w:tc>
        <w:tc>
          <w:tcPr>
            <w:tcW w:w="1450" w:type="dxa"/>
            <w:tcMar>
              <w:top w:w="80" w:type="dxa"/>
              <w:left w:w="120" w:type="dxa"/>
              <w:bottom w:w="80" w:type="dxa"/>
              <w:right w:w="120" w:type="dxa"/>
            </w:tcMar>
            <w:vAlign w:val="center"/>
          </w:tcPr>
          <w:p w14:paraId="390DA736" w14:textId="77777777" w:rsidR="00E9742F" w:rsidRDefault="00000000">
            <w:r>
              <w:rPr>
                <w:color w:val="000000"/>
                <w:sz w:val="19"/>
                <w:szCs w:val="19"/>
              </w:rPr>
              <w:t>50.97</w:t>
            </w:r>
          </w:p>
        </w:tc>
      </w:tr>
      <w:tr w:rsidR="00E9742F" w14:paraId="356CD08A" w14:textId="77777777">
        <w:tblPrEx>
          <w:tblCellMar>
            <w:top w:w="0" w:type="dxa"/>
            <w:bottom w:w="0" w:type="dxa"/>
          </w:tblCellMar>
        </w:tblPrEx>
        <w:tc>
          <w:tcPr>
            <w:tcW w:w="2400" w:type="dxa"/>
            <w:tcMar>
              <w:top w:w="80" w:type="dxa"/>
              <w:left w:w="120" w:type="dxa"/>
              <w:bottom w:w="80" w:type="dxa"/>
              <w:right w:w="120" w:type="dxa"/>
            </w:tcMar>
            <w:vAlign w:val="center"/>
          </w:tcPr>
          <w:p w14:paraId="0546D468" w14:textId="77777777" w:rsidR="00E9742F" w:rsidRDefault="00000000">
            <w:r>
              <w:rPr>
                <w:color w:val="000000"/>
                <w:sz w:val="19"/>
                <w:szCs w:val="19"/>
              </w:rPr>
              <w:t>Order quantity (units)</w:t>
            </w:r>
          </w:p>
        </w:tc>
        <w:tc>
          <w:tcPr>
            <w:tcW w:w="1250" w:type="dxa"/>
            <w:tcMar>
              <w:top w:w="80" w:type="dxa"/>
              <w:left w:w="120" w:type="dxa"/>
              <w:bottom w:w="80" w:type="dxa"/>
              <w:right w:w="120" w:type="dxa"/>
            </w:tcMar>
            <w:vAlign w:val="center"/>
          </w:tcPr>
          <w:p w14:paraId="094F45C5" w14:textId="77777777" w:rsidR="00E9742F" w:rsidRDefault="00000000">
            <w:r>
              <w:rPr>
                <w:color w:val="000000"/>
                <w:sz w:val="19"/>
                <w:szCs w:val="19"/>
              </w:rPr>
              <w:t>3.06</w:t>
            </w:r>
          </w:p>
        </w:tc>
        <w:tc>
          <w:tcPr>
            <w:tcW w:w="1250" w:type="dxa"/>
            <w:tcMar>
              <w:top w:w="80" w:type="dxa"/>
              <w:left w:w="120" w:type="dxa"/>
              <w:bottom w:w="80" w:type="dxa"/>
              <w:right w:w="120" w:type="dxa"/>
            </w:tcMar>
            <w:vAlign w:val="center"/>
          </w:tcPr>
          <w:p w14:paraId="41343B95" w14:textId="77777777" w:rsidR="00E9742F" w:rsidRDefault="00000000">
            <w:r>
              <w:rPr>
                <w:color w:val="000000"/>
                <w:sz w:val="19"/>
                <w:szCs w:val="19"/>
              </w:rPr>
              <w:t>3.00</w:t>
            </w:r>
          </w:p>
        </w:tc>
        <w:tc>
          <w:tcPr>
            <w:tcW w:w="1250" w:type="dxa"/>
            <w:tcMar>
              <w:top w:w="80" w:type="dxa"/>
              <w:left w:w="120" w:type="dxa"/>
              <w:bottom w:w="80" w:type="dxa"/>
              <w:right w:w="120" w:type="dxa"/>
            </w:tcMar>
            <w:vAlign w:val="center"/>
          </w:tcPr>
          <w:p w14:paraId="0BDE92A2" w14:textId="77777777" w:rsidR="00E9742F" w:rsidRDefault="00000000">
            <w:r>
              <w:rPr>
                <w:color w:val="000000"/>
                <w:sz w:val="19"/>
                <w:szCs w:val="19"/>
              </w:rPr>
              <w:t>1.44</w:t>
            </w:r>
          </w:p>
        </w:tc>
        <w:tc>
          <w:tcPr>
            <w:tcW w:w="1400" w:type="dxa"/>
            <w:tcMar>
              <w:top w:w="80" w:type="dxa"/>
              <w:left w:w="120" w:type="dxa"/>
              <w:bottom w:w="80" w:type="dxa"/>
              <w:right w:w="120" w:type="dxa"/>
            </w:tcMar>
            <w:vAlign w:val="center"/>
          </w:tcPr>
          <w:p w14:paraId="74ABF99C" w14:textId="77777777" w:rsidR="00E9742F" w:rsidRDefault="00000000">
            <w:r>
              <w:rPr>
                <w:color w:val="000000"/>
                <w:sz w:val="19"/>
                <w:szCs w:val="19"/>
              </w:rPr>
              <w:t>1.00</w:t>
            </w:r>
          </w:p>
        </w:tc>
        <w:tc>
          <w:tcPr>
            <w:tcW w:w="1450" w:type="dxa"/>
            <w:tcMar>
              <w:top w:w="80" w:type="dxa"/>
              <w:left w:w="120" w:type="dxa"/>
              <w:bottom w:w="80" w:type="dxa"/>
              <w:right w:w="120" w:type="dxa"/>
            </w:tcMar>
            <w:vAlign w:val="center"/>
          </w:tcPr>
          <w:p w14:paraId="0493CEAF" w14:textId="77777777" w:rsidR="00E9742F" w:rsidRDefault="00000000">
            <w:r>
              <w:rPr>
                <w:color w:val="000000"/>
                <w:sz w:val="19"/>
                <w:szCs w:val="19"/>
              </w:rPr>
              <w:t>5.00</w:t>
            </w:r>
          </w:p>
        </w:tc>
      </w:tr>
      <w:tr w:rsidR="00E9742F" w14:paraId="2E92C6B5" w14:textId="77777777">
        <w:tblPrEx>
          <w:tblCellMar>
            <w:top w:w="0" w:type="dxa"/>
            <w:bottom w:w="0" w:type="dxa"/>
          </w:tblCellMar>
        </w:tblPrEx>
        <w:tc>
          <w:tcPr>
            <w:tcW w:w="2400" w:type="dxa"/>
            <w:tcMar>
              <w:top w:w="80" w:type="dxa"/>
              <w:left w:w="120" w:type="dxa"/>
              <w:bottom w:w="80" w:type="dxa"/>
              <w:right w:w="120" w:type="dxa"/>
            </w:tcMar>
            <w:vAlign w:val="center"/>
          </w:tcPr>
          <w:p w14:paraId="2A89041E" w14:textId="77777777" w:rsidR="00E9742F" w:rsidRDefault="00000000">
            <w:r>
              <w:rPr>
                <w:color w:val="000000"/>
                <w:sz w:val="19"/>
                <w:szCs w:val="19"/>
              </w:rPr>
              <w:t>Profit per order (USD)</w:t>
            </w:r>
          </w:p>
        </w:tc>
        <w:tc>
          <w:tcPr>
            <w:tcW w:w="1250" w:type="dxa"/>
            <w:tcMar>
              <w:top w:w="80" w:type="dxa"/>
              <w:left w:w="120" w:type="dxa"/>
              <w:bottom w:w="80" w:type="dxa"/>
              <w:right w:w="120" w:type="dxa"/>
            </w:tcMar>
            <w:vAlign w:val="center"/>
          </w:tcPr>
          <w:p w14:paraId="656FBF66" w14:textId="77777777" w:rsidR="00E9742F" w:rsidRDefault="00000000">
            <w:r>
              <w:rPr>
                <w:color w:val="000000"/>
                <w:sz w:val="19"/>
                <w:szCs w:val="19"/>
              </w:rPr>
              <w:t>19.30</w:t>
            </w:r>
          </w:p>
        </w:tc>
        <w:tc>
          <w:tcPr>
            <w:tcW w:w="1250" w:type="dxa"/>
            <w:tcMar>
              <w:top w:w="80" w:type="dxa"/>
              <w:left w:w="120" w:type="dxa"/>
              <w:bottom w:w="80" w:type="dxa"/>
              <w:right w:w="120" w:type="dxa"/>
            </w:tcMar>
            <w:vAlign w:val="center"/>
          </w:tcPr>
          <w:p w14:paraId="0B0E975B" w14:textId="77777777" w:rsidR="00E9742F" w:rsidRDefault="00000000">
            <w:r>
              <w:rPr>
                <w:color w:val="000000"/>
                <w:sz w:val="19"/>
                <w:szCs w:val="19"/>
              </w:rPr>
              <w:t>18.57</w:t>
            </w:r>
          </w:p>
        </w:tc>
        <w:tc>
          <w:tcPr>
            <w:tcW w:w="1250" w:type="dxa"/>
            <w:tcMar>
              <w:top w:w="80" w:type="dxa"/>
              <w:left w:w="120" w:type="dxa"/>
              <w:bottom w:w="80" w:type="dxa"/>
              <w:right w:w="120" w:type="dxa"/>
            </w:tcMar>
            <w:vAlign w:val="center"/>
          </w:tcPr>
          <w:p w14:paraId="49D135BB" w14:textId="77777777" w:rsidR="00E9742F" w:rsidRDefault="00000000">
            <w:r>
              <w:rPr>
                <w:color w:val="000000"/>
                <w:sz w:val="19"/>
                <w:szCs w:val="19"/>
              </w:rPr>
              <w:t>39.57</w:t>
            </w:r>
          </w:p>
        </w:tc>
        <w:tc>
          <w:tcPr>
            <w:tcW w:w="1400" w:type="dxa"/>
            <w:tcMar>
              <w:top w:w="80" w:type="dxa"/>
              <w:left w:w="120" w:type="dxa"/>
              <w:bottom w:w="80" w:type="dxa"/>
              <w:right w:w="120" w:type="dxa"/>
            </w:tcMar>
            <w:vAlign w:val="center"/>
          </w:tcPr>
          <w:p w14:paraId="7A071F32" w14:textId="77777777" w:rsidR="00E9742F" w:rsidRDefault="00000000">
            <w:r>
              <w:rPr>
                <w:color w:val="000000"/>
                <w:sz w:val="19"/>
                <w:szCs w:val="19"/>
              </w:rPr>
              <w:t>-158.62</w:t>
            </w:r>
          </w:p>
        </w:tc>
        <w:tc>
          <w:tcPr>
            <w:tcW w:w="1450" w:type="dxa"/>
            <w:tcMar>
              <w:top w:w="80" w:type="dxa"/>
              <w:left w:w="120" w:type="dxa"/>
              <w:bottom w:w="80" w:type="dxa"/>
              <w:right w:w="120" w:type="dxa"/>
            </w:tcMar>
            <w:vAlign w:val="center"/>
          </w:tcPr>
          <w:p w14:paraId="7E44C050" w14:textId="77777777" w:rsidR="00E9742F" w:rsidRDefault="00000000">
            <w:r>
              <w:rPr>
                <w:color w:val="000000"/>
                <w:sz w:val="19"/>
                <w:szCs w:val="19"/>
              </w:rPr>
              <w:t>161.70</w:t>
            </w:r>
          </w:p>
        </w:tc>
      </w:tr>
    </w:tbl>
    <w:p w14:paraId="4FDDDB27" w14:textId="77777777" w:rsidR="00E9742F" w:rsidRDefault="00E9742F">
      <w:pPr>
        <w:spacing w:after="300"/>
      </w:pPr>
    </w:p>
    <w:p w14:paraId="0D2D595D" w14:textId="77777777" w:rsidR="00E9742F" w:rsidRDefault="00000000">
      <w:pPr>
        <w:spacing w:after="200" w:line="300" w:lineRule="auto"/>
      </w:pPr>
      <w:r>
        <w:t>Two points are noticeable straight away. First, the mean delivery time (3.92 days) is higher than the median (3.00 days), which indicates right-skew caused by the small number of extreme delays, including deliveries of up to 90 days that were flagged in Week 2 rather than removed. Second, profit per order ranges from a $158.62 loss to a $161.70 gain, so some orders are unprofitable even before transportation cost is taken into account.</w:t>
      </w:r>
    </w:p>
    <w:p w14:paraId="1FC9F15F" w14:textId="77777777" w:rsidR="00E9742F" w:rsidRDefault="00000000">
      <w:pPr>
        <w:pStyle w:val="Heading2"/>
      </w:pPr>
      <w:r>
        <w:t>3.2 Grouped summaries</w:t>
      </w:r>
    </w:p>
    <w:p w14:paraId="213D7FE9" w14:textId="77777777" w:rsidR="00E9742F" w:rsidRDefault="00000000">
      <w:pPr>
        <w:spacing w:after="200" w:line="300" w:lineRule="auto"/>
      </w:pPr>
      <w:r>
        <w:t>I used two grouped summaries to compare the operational measures across shipping mode and market:</w:t>
      </w:r>
    </w:p>
    <w:p w14:paraId="4F60E28A" w14:textId="77777777" w:rsidR="00E9742F" w:rsidRDefault="00000000">
      <w:pPr>
        <w:spacing w:before="80" w:after="240"/>
        <w:jc w:val="center"/>
      </w:pPr>
      <w:r>
        <w:rPr>
          <w:i/>
          <w:iCs/>
          <w:color w:val="595959"/>
          <w:sz w:val="19"/>
          <w:szCs w:val="19"/>
        </w:rPr>
        <w:t>Table 2. Average cost and delivery time by shipping mode.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2000"/>
      </w:tblGrid>
      <w:tr w:rsidR="00E9742F" w14:paraId="2BFC12FA" w14:textId="77777777">
        <w:tblPrEx>
          <w:tblCellMar>
            <w:top w:w="0" w:type="dxa"/>
            <w:bottom w:w="0" w:type="dxa"/>
          </w:tblCellMar>
        </w:tblPrEx>
        <w:trPr>
          <w:tblHeader/>
        </w:trPr>
        <w:tc>
          <w:tcPr>
            <w:tcW w:w="2400" w:type="dxa"/>
            <w:shd w:val="clear" w:color="auto" w:fill="1F4E78"/>
            <w:tcMar>
              <w:top w:w="80" w:type="dxa"/>
              <w:left w:w="120" w:type="dxa"/>
              <w:bottom w:w="80" w:type="dxa"/>
              <w:right w:w="120" w:type="dxa"/>
            </w:tcMar>
            <w:vAlign w:val="center"/>
          </w:tcPr>
          <w:p w14:paraId="52DF9A41" w14:textId="77777777" w:rsidR="00E9742F" w:rsidRDefault="00000000">
            <w:r>
              <w:rPr>
                <w:b/>
                <w:bCs/>
                <w:color w:val="FFFFFF"/>
                <w:sz w:val="19"/>
                <w:szCs w:val="19"/>
              </w:rPr>
              <w:t>Shipping Mode</w:t>
            </w:r>
          </w:p>
        </w:tc>
        <w:tc>
          <w:tcPr>
            <w:tcW w:w="2200" w:type="dxa"/>
            <w:shd w:val="clear" w:color="auto" w:fill="1F4E78"/>
            <w:tcMar>
              <w:top w:w="80" w:type="dxa"/>
              <w:left w:w="120" w:type="dxa"/>
              <w:bottom w:w="80" w:type="dxa"/>
              <w:right w:w="120" w:type="dxa"/>
            </w:tcMar>
            <w:vAlign w:val="center"/>
          </w:tcPr>
          <w:p w14:paraId="672D8C73" w14:textId="77777777" w:rsidR="00E9742F" w:rsidRDefault="00000000">
            <w:r>
              <w:rPr>
                <w:b/>
                <w:bCs/>
                <w:color w:val="FFFFFF"/>
                <w:sz w:val="19"/>
                <w:szCs w:val="19"/>
              </w:rPr>
              <w:t>Avg. Cost</w:t>
            </w:r>
          </w:p>
        </w:tc>
        <w:tc>
          <w:tcPr>
            <w:tcW w:w="2400" w:type="dxa"/>
            <w:shd w:val="clear" w:color="auto" w:fill="1F4E78"/>
            <w:tcMar>
              <w:top w:w="80" w:type="dxa"/>
              <w:left w:w="120" w:type="dxa"/>
              <w:bottom w:w="80" w:type="dxa"/>
              <w:right w:w="120" w:type="dxa"/>
            </w:tcMar>
            <w:vAlign w:val="center"/>
          </w:tcPr>
          <w:p w14:paraId="5971F3A3" w14:textId="77777777" w:rsidR="00E9742F" w:rsidRDefault="00000000">
            <w:r>
              <w:rPr>
                <w:b/>
                <w:bCs/>
                <w:color w:val="FFFFFF"/>
                <w:sz w:val="19"/>
                <w:szCs w:val="19"/>
              </w:rPr>
              <w:t>Avg. Delivery Days</w:t>
            </w:r>
          </w:p>
        </w:tc>
        <w:tc>
          <w:tcPr>
            <w:tcW w:w="2000" w:type="dxa"/>
            <w:shd w:val="clear" w:color="auto" w:fill="1F4E78"/>
            <w:tcMar>
              <w:top w:w="80" w:type="dxa"/>
              <w:left w:w="120" w:type="dxa"/>
              <w:bottom w:w="80" w:type="dxa"/>
              <w:right w:w="120" w:type="dxa"/>
            </w:tcMar>
            <w:vAlign w:val="center"/>
          </w:tcPr>
          <w:p w14:paraId="039CA895" w14:textId="77777777" w:rsidR="00E9742F" w:rsidRDefault="00000000">
            <w:r>
              <w:rPr>
                <w:b/>
                <w:bCs/>
                <w:color w:val="FFFFFF"/>
                <w:sz w:val="19"/>
                <w:szCs w:val="19"/>
              </w:rPr>
              <w:t>Orders</w:t>
            </w:r>
          </w:p>
        </w:tc>
      </w:tr>
      <w:tr w:rsidR="00E9742F" w14:paraId="63390C78" w14:textId="77777777">
        <w:tblPrEx>
          <w:tblCellMar>
            <w:top w:w="0" w:type="dxa"/>
            <w:bottom w:w="0" w:type="dxa"/>
          </w:tblCellMar>
        </w:tblPrEx>
        <w:tc>
          <w:tcPr>
            <w:tcW w:w="2400" w:type="dxa"/>
            <w:tcMar>
              <w:top w:w="80" w:type="dxa"/>
              <w:left w:w="120" w:type="dxa"/>
              <w:bottom w:w="80" w:type="dxa"/>
              <w:right w:w="120" w:type="dxa"/>
            </w:tcMar>
            <w:vAlign w:val="center"/>
          </w:tcPr>
          <w:p w14:paraId="0070D92A" w14:textId="77777777" w:rsidR="00E9742F" w:rsidRDefault="00000000">
            <w:r>
              <w:rPr>
                <w:color w:val="000000"/>
                <w:sz w:val="19"/>
                <w:szCs w:val="19"/>
              </w:rPr>
              <w:t>Standard Class</w:t>
            </w:r>
          </w:p>
        </w:tc>
        <w:tc>
          <w:tcPr>
            <w:tcW w:w="2200" w:type="dxa"/>
            <w:tcMar>
              <w:top w:w="80" w:type="dxa"/>
              <w:left w:w="120" w:type="dxa"/>
              <w:bottom w:w="80" w:type="dxa"/>
              <w:right w:w="120" w:type="dxa"/>
            </w:tcMar>
            <w:vAlign w:val="center"/>
          </w:tcPr>
          <w:p w14:paraId="0447D9A8" w14:textId="77777777" w:rsidR="00E9742F" w:rsidRDefault="00000000">
            <w:r>
              <w:rPr>
                <w:color w:val="000000"/>
                <w:sz w:val="19"/>
                <w:szCs w:val="19"/>
              </w:rPr>
              <w:t>$21.24</w:t>
            </w:r>
          </w:p>
        </w:tc>
        <w:tc>
          <w:tcPr>
            <w:tcW w:w="2400" w:type="dxa"/>
            <w:tcMar>
              <w:top w:w="80" w:type="dxa"/>
              <w:left w:w="120" w:type="dxa"/>
              <w:bottom w:w="80" w:type="dxa"/>
              <w:right w:w="120" w:type="dxa"/>
            </w:tcMar>
            <w:vAlign w:val="center"/>
          </w:tcPr>
          <w:p w14:paraId="5375BAC1" w14:textId="77777777" w:rsidR="00E9742F" w:rsidRDefault="00000000">
            <w:r>
              <w:rPr>
                <w:color w:val="000000"/>
                <w:sz w:val="19"/>
                <w:szCs w:val="19"/>
              </w:rPr>
              <w:t>3.88</w:t>
            </w:r>
          </w:p>
        </w:tc>
        <w:tc>
          <w:tcPr>
            <w:tcW w:w="2000" w:type="dxa"/>
            <w:tcMar>
              <w:top w:w="80" w:type="dxa"/>
              <w:left w:w="120" w:type="dxa"/>
              <w:bottom w:w="80" w:type="dxa"/>
              <w:right w:w="120" w:type="dxa"/>
            </w:tcMar>
            <w:vAlign w:val="center"/>
          </w:tcPr>
          <w:p w14:paraId="668A5057" w14:textId="77777777" w:rsidR="00E9742F" w:rsidRDefault="00000000">
            <w:r>
              <w:rPr>
                <w:color w:val="000000"/>
                <w:sz w:val="19"/>
                <w:szCs w:val="19"/>
              </w:rPr>
              <w:t>2,204</w:t>
            </w:r>
          </w:p>
        </w:tc>
      </w:tr>
      <w:tr w:rsidR="00E9742F" w14:paraId="6AC4584B" w14:textId="77777777">
        <w:tblPrEx>
          <w:tblCellMar>
            <w:top w:w="0" w:type="dxa"/>
            <w:bottom w:w="0" w:type="dxa"/>
          </w:tblCellMar>
        </w:tblPrEx>
        <w:tc>
          <w:tcPr>
            <w:tcW w:w="2400" w:type="dxa"/>
            <w:tcMar>
              <w:top w:w="80" w:type="dxa"/>
              <w:left w:w="120" w:type="dxa"/>
              <w:bottom w:w="80" w:type="dxa"/>
              <w:right w:w="120" w:type="dxa"/>
            </w:tcMar>
            <w:vAlign w:val="center"/>
          </w:tcPr>
          <w:p w14:paraId="1EA042E5" w14:textId="77777777" w:rsidR="00E9742F" w:rsidRDefault="00000000">
            <w:r>
              <w:rPr>
                <w:color w:val="000000"/>
                <w:sz w:val="19"/>
                <w:szCs w:val="19"/>
              </w:rPr>
              <w:t>Second Class</w:t>
            </w:r>
          </w:p>
        </w:tc>
        <w:tc>
          <w:tcPr>
            <w:tcW w:w="2200" w:type="dxa"/>
            <w:tcMar>
              <w:top w:w="80" w:type="dxa"/>
              <w:left w:w="120" w:type="dxa"/>
              <w:bottom w:w="80" w:type="dxa"/>
              <w:right w:w="120" w:type="dxa"/>
            </w:tcMar>
            <w:vAlign w:val="center"/>
          </w:tcPr>
          <w:p w14:paraId="053302DE" w14:textId="77777777" w:rsidR="00E9742F" w:rsidRDefault="00000000">
            <w:r>
              <w:rPr>
                <w:color w:val="000000"/>
                <w:sz w:val="19"/>
                <w:szCs w:val="19"/>
              </w:rPr>
              <w:t>$25.30</w:t>
            </w:r>
          </w:p>
        </w:tc>
        <w:tc>
          <w:tcPr>
            <w:tcW w:w="2400" w:type="dxa"/>
            <w:tcMar>
              <w:top w:w="80" w:type="dxa"/>
              <w:left w:w="120" w:type="dxa"/>
              <w:bottom w:w="80" w:type="dxa"/>
              <w:right w:w="120" w:type="dxa"/>
            </w:tcMar>
            <w:vAlign w:val="center"/>
          </w:tcPr>
          <w:p w14:paraId="1101B08E" w14:textId="77777777" w:rsidR="00E9742F" w:rsidRDefault="00000000">
            <w:r>
              <w:rPr>
                <w:color w:val="000000"/>
                <w:sz w:val="19"/>
                <w:szCs w:val="19"/>
              </w:rPr>
              <w:t>4.04</w:t>
            </w:r>
          </w:p>
        </w:tc>
        <w:tc>
          <w:tcPr>
            <w:tcW w:w="2000" w:type="dxa"/>
            <w:tcMar>
              <w:top w:w="80" w:type="dxa"/>
              <w:left w:w="120" w:type="dxa"/>
              <w:bottom w:w="80" w:type="dxa"/>
              <w:right w:w="120" w:type="dxa"/>
            </w:tcMar>
            <w:vAlign w:val="center"/>
          </w:tcPr>
          <w:p w14:paraId="08DEEA04" w14:textId="77777777" w:rsidR="00E9742F" w:rsidRDefault="00000000">
            <w:r>
              <w:rPr>
                <w:color w:val="000000"/>
                <w:sz w:val="19"/>
                <w:szCs w:val="19"/>
              </w:rPr>
              <w:t>572</w:t>
            </w:r>
          </w:p>
        </w:tc>
      </w:tr>
      <w:tr w:rsidR="00E9742F" w14:paraId="50148A97" w14:textId="77777777">
        <w:tblPrEx>
          <w:tblCellMar>
            <w:top w:w="0" w:type="dxa"/>
            <w:bottom w:w="0" w:type="dxa"/>
          </w:tblCellMar>
        </w:tblPrEx>
        <w:tc>
          <w:tcPr>
            <w:tcW w:w="2400" w:type="dxa"/>
            <w:tcMar>
              <w:top w:w="80" w:type="dxa"/>
              <w:left w:w="120" w:type="dxa"/>
              <w:bottom w:w="80" w:type="dxa"/>
              <w:right w:w="120" w:type="dxa"/>
            </w:tcMar>
            <w:vAlign w:val="center"/>
          </w:tcPr>
          <w:p w14:paraId="097C21F9" w14:textId="77777777" w:rsidR="00E9742F" w:rsidRDefault="00000000">
            <w:r>
              <w:rPr>
                <w:color w:val="000000"/>
                <w:sz w:val="19"/>
                <w:szCs w:val="19"/>
              </w:rPr>
              <w:t>First Class</w:t>
            </w:r>
          </w:p>
        </w:tc>
        <w:tc>
          <w:tcPr>
            <w:tcW w:w="2200" w:type="dxa"/>
            <w:tcMar>
              <w:top w:w="80" w:type="dxa"/>
              <w:left w:w="120" w:type="dxa"/>
              <w:bottom w:w="80" w:type="dxa"/>
              <w:right w:w="120" w:type="dxa"/>
            </w:tcMar>
            <w:vAlign w:val="center"/>
          </w:tcPr>
          <w:p w14:paraId="7A2FF025" w14:textId="77777777" w:rsidR="00E9742F" w:rsidRDefault="00000000">
            <w:r>
              <w:rPr>
                <w:color w:val="000000"/>
                <w:sz w:val="19"/>
                <w:szCs w:val="19"/>
              </w:rPr>
              <w:t>$30.87</w:t>
            </w:r>
          </w:p>
        </w:tc>
        <w:tc>
          <w:tcPr>
            <w:tcW w:w="2400" w:type="dxa"/>
            <w:tcMar>
              <w:top w:w="80" w:type="dxa"/>
              <w:left w:w="120" w:type="dxa"/>
              <w:bottom w:w="80" w:type="dxa"/>
              <w:right w:w="120" w:type="dxa"/>
            </w:tcMar>
            <w:vAlign w:val="center"/>
          </w:tcPr>
          <w:p w14:paraId="1C1CBF78" w14:textId="77777777" w:rsidR="00E9742F" w:rsidRDefault="00000000">
            <w:r>
              <w:rPr>
                <w:color w:val="000000"/>
                <w:sz w:val="19"/>
                <w:szCs w:val="19"/>
              </w:rPr>
              <w:t>4.04</w:t>
            </w:r>
          </w:p>
        </w:tc>
        <w:tc>
          <w:tcPr>
            <w:tcW w:w="2000" w:type="dxa"/>
            <w:tcMar>
              <w:top w:w="80" w:type="dxa"/>
              <w:left w:w="120" w:type="dxa"/>
              <w:bottom w:w="80" w:type="dxa"/>
              <w:right w:w="120" w:type="dxa"/>
            </w:tcMar>
            <w:vAlign w:val="center"/>
          </w:tcPr>
          <w:p w14:paraId="15EA142C" w14:textId="77777777" w:rsidR="00E9742F" w:rsidRDefault="00000000">
            <w:r>
              <w:rPr>
                <w:color w:val="000000"/>
                <w:sz w:val="19"/>
                <w:szCs w:val="19"/>
              </w:rPr>
              <w:t>607</w:t>
            </w:r>
          </w:p>
        </w:tc>
      </w:tr>
      <w:tr w:rsidR="00E9742F" w14:paraId="2FFC7054" w14:textId="77777777">
        <w:tblPrEx>
          <w:tblCellMar>
            <w:top w:w="0" w:type="dxa"/>
            <w:bottom w:w="0" w:type="dxa"/>
          </w:tblCellMar>
        </w:tblPrEx>
        <w:tc>
          <w:tcPr>
            <w:tcW w:w="2400" w:type="dxa"/>
            <w:tcMar>
              <w:top w:w="80" w:type="dxa"/>
              <w:left w:w="120" w:type="dxa"/>
              <w:bottom w:w="80" w:type="dxa"/>
              <w:right w:w="120" w:type="dxa"/>
            </w:tcMar>
            <w:vAlign w:val="center"/>
          </w:tcPr>
          <w:p w14:paraId="3F159BF2" w14:textId="77777777" w:rsidR="00E9742F" w:rsidRDefault="00000000">
            <w:r>
              <w:rPr>
                <w:color w:val="000000"/>
                <w:sz w:val="19"/>
                <w:szCs w:val="19"/>
              </w:rPr>
              <w:t>Same Day</w:t>
            </w:r>
          </w:p>
        </w:tc>
        <w:tc>
          <w:tcPr>
            <w:tcW w:w="2200" w:type="dxa"/>
            <w:tcMar>
              <w:top w:w="80" w:type="dxa"/>
              <w:left w:w="120" w:type="dxa"/>
              <w:bottom w:w="80" w:type="dxa"/>
              <w:right w:w="120" w:type="dxa"/>
            </w:tcMar>
            <w:vAlign w:val="center"/>
          </w:tcPr>
          <w:p w14:paraId="3B0C6BA1" w14:textId="77777777" w:rsidR="00E9742F" w:rsidRDefault="00000000">
            <w:r>
              <w:rPr>
                <w:color w:val="000000"/>
                <w:sz w:val="19"/>
                <w:szCs w:val="19"/>
              </w:rPr>
              <w:t>$38.04</w:t>
            </w:r>
          </w:p>
        </w:tc>
        <w:tc>
          <w:tcPr>
            <w:tcW w:w="2400" w:type="dxa"/>
            <w:tcMar>
              <w:top w:w="80" w:type="dxa"/>
              <w:left w:w="120" w:type="dxa"/>
              <w:bottom w:w="80" w:type="dxa"/>
              <w:right w:w="120" w:type="dxa"/>
            </w:tcMar>
            <w:vAlign w:val="center"/>
          </w:tcPr>
          <w:p w14:paraId="6689DBB9" w14:textId="77777777" w:rsidR="00E9742F" w:rsidRDefault="00000000">
            <w:r>
              <w:rPr>
                <w:color w:val="000000"/>
                <w:sz w:val="19"/>
                <w:szCs w:val="19"/>
              </w:rPr>
              <w:t>3.82</w:t>
            </w:r>
          </w:p>
        </w:tc>
        <w:tc>
          <w:tcPr>
            <w:tcW w:w="2000" w:type="dxa"/>
            <w:tcMar>
              <w:top w:w="80" w:type="dxa"/>
              <w:left w:w="120" w:type="dxa"/>
              <w:bottom w:w="80" w:type="dxa"/>
              <w:right w:w="120" w:type="dxa"/>
            </w:tcMar>
            <w:vAlign w:val="center"/>
          </w:tcPr>
          <w:p w14:paraId="51BF390C" w14:textId="77777777" w:rsidR="00E9742F" w:rsidRDefault="00000000">
            <w:r>
              <w:rPr>
                <w:color w:val="000000"/>
                <w:sz w:val="19"/>
                <w:szCs w:val="19"/>
              </w:rPr>
              <w:t>365</w:t>
            </w:r>
          </w:p>
        </w:tc>
      </w:tr>
    </w:tbl>
    <w:p w14:paraId="026E20BC" w14:textId="77777777" w:rsidR="00E9742F" w:rsidRDefault="00E9742F">
      <w:pPr>
        <w:spacing w:after="300"/>
      </w:pPr>
    </w:p>
    <w:p w14:paraId="55EA7415" w14:textId="77777777" w:rsidR="00E9742F" w:rsidRDefault="00000000">
      <w:pPr>
        <w:spacing w:before="80" w:after="240"/>
        <w:jc w:val="center"/>
      </w:pPr>
      <w:r>
        <w:rPr>
          <w:i/>
          <w:iCs/>
          <w:color w:val="595959"/>
          <w:sz w:val="19"/>
          <w:szCs w:val="19"/>
        </w:rPr>
        <w:t>Table 3. Late-delivery rate and average delivery time by market.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2000"/>
      </w:tblGrid>
      <w:tr w:rsidR="00E9742F" w14:paraId="1213F007" w14:textId="77777777">
        <w:tblPrEx>
          <w:tblCellMar>
            <w:top w:w="0" w:type="dxa"/>
            <w:bottom w:w="0" w:type="dxa"/>
          </w:tblCellMar>
        </w:tblPrEx>
        <w:trPr>
          <w:tblHeader/>
        </w:trPr>
        <w:tc>
          <w:tcPr>
            <w:tcW w:w="2400" w:type="dxa"/>
            <w:shd w:val="clear" w:color="auto" w:fill="1F4E78"/>
            <w:tcMar>
              <w:top w:w="80" w:type="dxa"/>
              <w:left w:w="120" w:type="dxa"/>
              <w:bottom w:w="80" w:type="dxa"/>
              <w:right w:w="120" w:type="dxa"/>
            </w:tcMar>
            <w:vAlign w:val="center"/>
          </w:tcPr>
          <w:p w14:paraId="1E7434C8" w14:textId="77777777" w:rsidR="00E9742F" w:rsidRDefault="00000000">
            <w:r>
              <w:rPr>
                <w:b/>
                <w:bCs/>
                <w:color w:val="FFFFFF"/>
                <w:sz w:val="19"/>
                <w:szCs w:val="19"/>
              </w:rPr>
              <w:t>Market</w:t>
            </w:r>
          </w:p>
        </w:tc>
        <w:tc>
          <w:tcPr>
            <w:tcW w:w="2200" w:type="dxa"/>
            <w:shd w:val="clear" w:color="auto" w:fill="1F4E78"/>
            <w:tcMar>
              <w:top w:w="80" w:type="dxa"/>
              <w:left w:w="120" w:type="dxa"/>
              <w:bottom w:w="80" w:type="dxa"/>
              <w:right w:w="120" w:type="dxa"/>
            </w:tcMar>
            <w:vAlign w:val="center"/>
          </w:tcPr>
          <w:p w14:paraId="6B199D64" w14:textId="77777777" w:rsidR="00E9742F" w:rsidRDefault="00000000">
            <w:r>
              <w:rPr>
                <w:b/>
                <w:bCs/>
                <w:color w:val="FFFFFF"/>
                <w:sz w:val="19"/>
                <w:szCs w:val="19"/>
              </w:rPr>
              <w:t>Late Rate</w:t>
            </w:r>
          </w:p>
        </w:tc>
        <w:tc>
          <w:tcPr>
            <w:tcW w:w="2400" w:type="dxa"/>
            <w:shd w:val="clear" w:color="auto" w:fill="1F4E78"/>
            <w:tcMar>
              <w:top w:w="80" w:type="dxa"/>
              <w:left w:w="120" w:type="dxa"/>
              <w:bottom w:w="80" w:type="dxa"/>
              <w:right w:w="120" w:type="dxa"/>
            </w:tcMar>
            <w:vAlign w:val="center"/>
          </w:tcPr>
          <w:p w14:paraId="50B80322" w14:textId="77777777" w:rsidR="00E9742F" w:rsidRDefault="00000000">
            <w:r>
              <w:rPr>
                <w:b/>
                <w:bCs/>
                <w:color w:val="FFFFFF"/>
                <w:sz w:val="19"/>
                <w:szCs w:val="19"/>
              </w:rPr>
              <w:t>Avg. Delivery Days</w:t>
            </w:r>
          </w:p>
        </w:tc>
        <w:tc>
          <w:tcPr>
            <w:tcW w:w="2000" w:type="dxa"/>
            <w:shd w:val="clear" w:color="auto" w:fill="1F4E78"/>
            <w:tcMar>
              <w:top w:w="80" w:type="dxa"/>
              <w:left w:w="120" w:type="dxa"/>
              <w:bottom w:w="80" w:type="dxa"/>
              <w:right w:w="120" w:type="dxa"/>
            </w:tcMar>
            <w:vAlign w:val="center"/>
          </w:tcPr>
          <w:p w14:paraId="3E5D084B" w14:textId="77777777" w:rsidR="00E9742F" w:rsidRDefault="00000000">
            <w:r>
              <w:rPr>
                <w:b/>
                <w:bCs/>
                <w:color w:val="FFFFFF"/>
                <w:sz w:val="19"/>
                <w:szCs w:val="19"/>
              </w:rPr>
              <w:t>Orders</w:t>
            </w:r>
          </w:p>
        </w:tc>
      </w:tr>
      <w:tr w:rsidR="00E9742F" w14:paraId="67DF9C0C" w14:textId="77777777">
        <w:tblPrEx>
          <w:tblCellMar>
            <w:top w:w="0" w:type="dxa"/>
            <w:bottom w:w="0" w:type="dxa"/>
          </w:tblCellMar>
        </w:tblPrEx>
        <w:tc>
          <w:tcPr>
            <w:tcW w:w="2400" w:type="dxa"/>
            <w:tcMar>
              <w:top w:w="80" w:type="dxa"/>
              <w:left w:w="120" w:type="dxa"/>
              <w:bottom w:w="80" w:type="dxa"/>
              <w:right w:w="120" w:type="dxa"/>
            </w:tcMar>
            <w:vAlign w:val="center"/>
          </w:tcPr>
          <w:p w14:paraId="21EBFAA9" w14:textId="77777777" w:rsidR="00E9742F" w:rsidRDefault="00000000">
            <w:r>
              <w:rPr>
                <w:color w:val="000000"/>
                <w:sz w:val="19"/>
                <w:szCs w:val="19"/>
              </w:rPr>
              <w:t>Africa</w:t>
            </w:r>
          </w:p>
        </w:tc>
        <w:tc>
          <w:tcPr>
            <w:tcW w:w="2200" w:type="dxa"/>
            <w:tcMar>
              <w:top w:w="80" w:type="dxa"/>
              <w:left w:w="120" w:type="dxa"/>
              <w:bottom w:w="80" w:type="dxa"/>
              <w:right w:w="120" w:type="dxa"/>
            </w:tcMar>
            <w:vAlign w:val="center"/>
          </w:tcPr>
          <w:p w14:paraId="74FBEF1F" w14:textId="77777777" w:rsidR="00E9742F" w:rsidRDefault="00000000">
            <w:r>
              <w:rPr>
                <w:color w:val="000000"/>
                <w:sz w:val="19"/>
                <w:szCs w:val="19"/>
              </w:rPr>
              <w:t>49.7%</w:t>
            </w:r>
          </w:p>
        </w:tc>
        <w:tc>
          <w:tcPr>
            <w:tcW w:w="2400" w:type="dxa"/>
            <w:tcMar>
              <w:top w:w="80" w:type="dxa"/>
              <w:left w:w="120" w:type="dxa"/>
              <w:bottom w:w="80" w:type="dxa"/>
              <w:right w:w="120" w:type="dxa"/>
            </w:tcMar>
            <w:vAlign w:val="center"/>
          </w:tcPr>
          <w:p w14:paraId="00116E47" w14:textId="77777777" w:rsidR="00E9742F" w:rsidRDefault="00000000">
            <w:r>
              <w:rPr>
                <w:color w:val="000000"/>
                <w:sz w:val="19"/>
                <w:szCs w:val="19"/>
              </w:rPr>
              <w:t>3.81</w:t>
            </w:r>
          </w:p>
        </w:tc>
        <w:tc>
          <w:tcPr>
            <w:tcW w:w="2000" w:type="dxa"/>
            <w:tcMar>
              <w:top w:w="80" w:type="dxa"/>
              <w:left w:w="120" w:type="dxa"/>
              <w:bottom w:w="80" w:type="dxa"/>
              <w:right w:w="120" w:type="dxa"/>
            </w:tcMar>
            <w:vAlign w:val="center"/>
          </w:tcPr>
          <w:p w14:paraId="37C05091" w14:textId="77777777" w:rsidR="00E9742F" w:rsidRDefault="00000000">
            <w:r>
              <w:rPr>
                <w:color w:val="000000"/>
                <w:sz w:val="19"/>
                <w:szCs w:val="19"/>
              </w:rPr>
              <w:t>753</w:t>
            </w:r>
          </w:p>
        </w:tc>
      </w:tr>
      <w:tr w:rsidR="00E9742F" w14:paraId="5B25C7F0" w14:textId="77777777">
        <w:tblPrEx>
          <w:tblCellMar>
            <w:top w:w="0" w:type="dxa"/>
            <w:bottom w:w="0" w:type="dxa"/>
          </w:tblCellMar>
        </w:tblPrEx>
        <w:tc>
          <w:tcPr>
            <w:tcW w:w="2400" w:type="dxa"/>
            <w:tcMar>
              <w:top w:w="80" w:type="dxa"/>
              <w:left w:w="120" w:type="dxa"/>
              <w:bottom w:w="80" w:type="dxa"/>
              <w:right w:w="120" w:type="dxa"/>
            </w:tcMar>
            <w:vAlign w:val="center"/>
          </w:tcPr>
          <w:p w14:paraId="087269E1" w14:textId="77777777" w:rsidR="00E9742F" w:rsidRDefault="00000000">
            <w:r>
              <w:rPr>
                <w:color w:val="000000"/>
                <w:sz w:val="19"/>
                <w:szCs w:val="19"/>
              </w:rPr>
              <w:lastRenderedPageBreak/>
              <w:t>USCA</w:t>
            </w:r>
          </w:p>
        </w:tc>
        <w:tc>
          <w:tcPr>
            <w:tcW w:w="2200" w:type="dxa"/>
            <w:tcMar>
              <w:top w:w="80" w:type="dxa"/>
              <w:left w:w="120" w:type="dxa"/>
              <w:bottom w:w="80" w:type="dxa"/>
              <w:right w:w="120" w:type="dxa"/>
            </w:tcMar>
            <w:vAlign w:val="center"/>
          </w:tcPr>
          <w:p w14:paraId="28549755" w14:textId="77777777" w:rsidR="00E9742F" w:rsidRDefault="00000000">
            <w:r>
              <w:rPr>
                <w:color w:val="000000"/>
                <w:sz w:val="19"/>
                <w:szCs w:val="19"/>
              </w:rPr>
              <w:t>49.3%</w:t>
            </w:r>
          </w:p>
        </w:tc>
        <w:tc>
          <w:tcPr>
            <w:tcW w:w="2400" w:type="dxa"/>
            <w:tcMar>
              <w:top w:w="80" w:type="dxa"/>
              <w:left w:w="120" w:type="dxa"/>
              <w:bottom w:w="80" w:type="dxa"/>
              <w:right w:w="120" w:type="dxa"/>
            </w:tcMar>
            <w:vAlign w:val="center"/>
          </w:tcPr>
          <w:p w14:paraId="503E735E" w14:textId="77777777" w:rsidR="00E9742F" w:rsidRDefault="00000000">
            <w:r>
              <w:rPr>
                <w:color w:val="000000"/>
                <w:sz w:val="19"/>
                <w:szCs w:val="19"/>
              </w:rPr>
              <w:t>3.52</w:t>
            </w:r>
          </w:p>
        </w:tc>
        <w:tc>
          <w:tcPr>
            <w:tcW w:w="2000" w:type="dxa"/>
            <w:tcMar>
              <w:top w:w="80" w:type="dxa"/>
              <w:left w:w="120" w:type="dxa"/>
              <w:bottom w:w="80" w:type="dxa"/>
              <w:right w:w="120" w:type="dxa"/>
            </w:tcMar>
            <w:vAlign w:val="center"/>
          </w:tcPr>
          <w:p w14:paraId="06DCAEAD" w14:textId="77777777" w:rsidR="00E9742F" w:rsidRDefault="00000000">
            <w:r>
              <w:rPr>
                <w:color w:val="000000"/>
                <w:sz w:val="19"/>
                <w:szCs w:val="19"/>
              </w:rPr>
              <w:t>762</w:t>
            </w:r>
          </w:p>
        </w:tc>
      </w:tr>
      <w:tr w:rsidR="00E9742F" w14:paraId="7B8025CE" w14:textId="77777777">
        <w:tblPrEx>
          <w:tblCellMar>
            <w:top w:w="0" w:type="dxa"/>
            <w:bottom w:w="0" w:type="dxa"/>
          </w:tblCellMar>
        </w:tblPrEx>
        <w:tc>
          <w:tcPr>
            <w:tcW w:w="2400" w:type="dxa"/>
            <w:tcMar>
              <w:top w:w="80" w:type="dxa"/>
              <w:left w:w="120" w:type="dxa"/>
              <w:bottom w:w="80" w:type="dxa"/>
              <w:right w:w="120" w:type="dxa"/>
            </w:tcMar>
            <w:vAlign w:val="center"/>
          </w:tcPr>
          <w:p w14:paraId="537418A7" w14:textId="77777777" w:rsidR="00E9742F" w:rsidRDefault="00000000">
            <w:r>
              <w:rPr>
                <w:color w:val="000000"/>
                <w:sz w:val="19"/>
                <w:szCs w:val="19"/>
              </w:rPr>
              <w:t>LATAM</w:t>
            </w:r>
          </w:p>
        </w:tc>
        <w:tc>
          <w:tcPr>
            <w:tcW w:w="2200" w:type="dxa"/>
            <w:tcMar>
              <w:top w:w="80" w:type="dxa"/>
              <w:left w:w="120" w:type="dxa"/>
              <w:bottom w:w="80" w:type="dxa"/>
              <w:right w:w="120" w:type="dxa"/>
            </w:tcMar>
            <w:vAlign w:val="center"/>
          </w:tcPr>
          <w:p w14:paraId="27E2B009" w14:textId="77777777" w:rsidR="00E9742F" w:rsidRDefault="00000000">
            <w:r>
              <w:rPr>
                <w:color w:val="000000"/>
                <w:sz w:val="19"/>
                <w:szCs w:val="19"/>
              </w:rPr>
              <w:t>48.6%</w:t>
            </w:r>
          </w:p>
        </w:tc>
        <w:tc>
          <w:tcPr>
            <w:tcW w:w="2400" w:type="dxa"/>
            <w:tcMar>
              <w:top w:w="80" w:type="dxa"/>
              <w:left w:w="120" w:type="dxa"/>
              <w:bottom w:w="80" w:type="dxa"/>
              <w:right w:w="120" w:type="dxa"/>
            </w:tcMar>
            <w:vAlign w:val="center"/>
          </w:tcPr>
          <w:p w14:paraId="3E881C4A" w14:textId="77777777" w:rsidR="00E9742F" w:rsidRDefault="00000000">
            <w:r>
              <w:rPr>
                <w:color w:val="000000"/>
                <w:sz w:val="19"/>
                <w:szCs w:val="19"/>
              </w:rPr>
              <w:t>4.09</w:t>
            </w:r>
          </w:p>
        </w:tc>
        <w:tc>
          <w:tcPr>
            <w:tcW w:w="2000" w:type="dxa"/>
            <w:tcMar>
              <w:top w:w="80" w:type="dxa"/>
              <w:left w:w="120" w:type="dxa"/>
              <w:bottom w:w="80" w:type="dxa"/>
              <w:right w:w="120" w:type="dxa"/>
            </w:tcMar>
            <w:vAlign w:val="center"/>
          </w:tcPr>
          <w:p w14:paraId="06B2269E" w14:textId="77777777" w:rsidR="00E9742F" w:rsidRDefault="00000000">
            <w:r>
              <w:rPr>
                <w:color w:val="000000"/>
                <w:sz w:val="19"/>
                <w:szCs w:val="19"/>
              </w:rPr>
              <w:t>747</w:t>
            </w:r>
          </w:p>
        </w:tc>
      </w:tr>
      <w:tr w:rsidR="00E9742F" w14:paraId="4AF0F4CB" w14:textId="77777777">
        <w:tblPrEx>
          <w:tblCellMar>
            <w:top w:w="0" w:type="dxa"/>
            <w:bottom w:w="0" w:type="dxa"/>
          </w:tblCellMar>
        </w:tblPrEx>
        <w:tc>
          <w:tcPr>
            <w:tcW w:w="2400" w:type="dxa"/>
            <w:tcMar>
              <w:top w:w="80" w:type="dxa"/>
              <w:left w:w="120" w:type="dxa"/>
              <w:bottom w:w="80" w:type="dxa"/>
              <w:right w:w="120" w:type="dxa"/>
            </w:tcMar>
            <w:vAlign w:val="center"/>
          </w:tcPr>
          <w:p w14:paraId="7E3748B1" w14:textId="77777777" w:rsidR="00E9742F" w:rsidRDefault="00000000">
            <w:r>
              <w:rPr>
                <w:color w:val="000000"/>
                <w:sz w:val="19"/>
                <w:szCs w:val="19"/>
              </w:rPr>
              <w:t>Pacific Asia</w:t>
            </w:r>
          </w:p>
        </w:tc>
        <w:tc>
          <w:tcPr>
            <w:tcW w:w="2200" w:type="dxa"/>
            <w:tcMar>
              <w:top w:w="80" w:type="dxa"/>
              <w:left w:w="120" w:type="dxa"/>
              <w:bottom w:w="80" w:type="dxa"/>
              <w:right w:w="120" w:type="dxa"/>
            </w:tcMar>
            <w:vAlign w:val="center"/>
          </w:tcPr>
          <w:p w14:paraId="29ECAE0E" w14:textId="77777777" w:rsidR="00E9742F" w:rsidRDefault="00000000">
            <w:r>
              <w:rPr>
                <w:color w:val="000000"/>
                <w:sz w:val="19"/>
                <w:szCs w:val="19"/>
              </w:rPr>
              <w:t>48.3%</w:t>
            </w:r>
          </w:p>
        </w:tc>
        <w:tc>
          <w:tcPr>
            <w:tcW w:w="2400" w:type="dxa"/>
            <w:tcMar>
              <w:top w:w="80" w:type="dxa"/>
              <w:left w:w="120" w:type="dxa"/>
              <w:bottom w:w="80" w:type="dxa"/>
              <w:right w:w="120" w:type="dxa"/>
            </w:tcMar>
            <w:vAlign w:val="center"/>
          </w:tcPr>
          <w:p w14:paraId="77DE1D62" w14:textId="77777777" w:rsidR="00E9742F" w:rsidRDefault="00000000">
            <w:r>
              <w:rPr>
                <w:color w:val="000000"/>
                <w:sz w:val="19"/>
                <w:szCs w:val="19"/>
              </w:rPr>
              <w:t>4.34</w:t>
            </w:r>
          </w:p>
        </w:tc>
        <w:tc>
          <w:tcPr>
            <w:tcW w:w="2000" w:type="dxa"/>
            <w:tcMar>
              <w:top w:w="80" w:type="dxa"/>
              <w:left w:w="120" w:type="dxa"/>
              <w:bottom w:w="80" w:type="dxa"/>
              <w:right w:w="120" w:type="dxa"/>
            </w:tcMar>
            <w:vAlign w:val="center"/>
          </w:tcPr>
          <w:p w14:paraId="1F1A31B0" w14:textId="77777777" w:rsidR="00E9742F" w:rsidRDefault="00000000">
            <w:r>
              <w:rPr>
                <w:color w:val="000000"/>
                <w:sz w:val="19"/>
                <w:szCs w:val="19"/>
              </w:rPr>
              <w:t>704</w:t>
            </w:r>
          </w:p>
        </w:tc>
      </w:tr>
      <w:tr w:rsidR="00E9742F" w14:paraId="01DCA5C5" w14:textId="77777777">
        <w:tblPrEx>
          <w:tblCellMar>
            <w:top w:w="0" w:type="dxa"/>
            <w:bottom w:w="0" w:type="dxa"/>
          </w:tblCellMar>
        </w:tblPrEx>
        <w:tc>
          <w:tcPr>
            <w:tcW w:w="2400" w:type="dxa"/>
            <w:tcMar>
              <w:top w:w="80" w:type="dxa"/>
              <w:left w:w="120" w:type="dxa"/>
              <w:bottom w:w="80" w:type="dxa"/>
              <w:right w:w="120" w:type="dxa"/>
            </w:tcMar>
            <w:vAlign w:val="center"/>
          </w:tcPr>
          <w:p w14:paraId="18EBF101" w14:textId="77777777" w:rsidR="00E9742F" w:rsidRDefault="00000000">
            <w:r>
              <w:rPr>
                <w:color w:val="000000"/>
                <w:sz w:val="19"/>
                <w:szCs w:val="19"/>
              </w:rPr>
              <w:t>Europe</w:t>
            </w:r>
          </w:p>
        </w:tc>
        <w:tc>
          <w:tcPr>
            <w:tcW w:w="2200" w:type="dxa"/>
            <w:tcMar>
              <w:top w:w="80" w:type="dxa"/>
              <w:left w:w="120" w:type="dxa"/>
              <w:bottom w:w="80" w:type="dxa"/>
              <w:right w:w="120" w:type="dxa"/>
            </w:tcMar>
            <w:vAlign w:val="center"/>
          </w:tcPr>
          <w:p w14:paraId="2E89845D" w14:textId="77777777" w:rsidR="00E9742F" w:rsidRDefault="00000000">
            <w:r>
              <w:rPr>
                <w:color w:val="000000"/>
                <w:sz w:val="19"/>
                <w:szCs w:val="19"/>
              </w:rPr>
              <w:t>47.3%</w:t>
            </w:r>
          </w:p>
        </w:tc>
        <w:tc>
          <w:tcPr>
            <w:tcW w:w="2400" w:type="dxa"/>
            <w:tcMar>
              <w:top w:w="80" w:type="dxa"/>
              <w:left w:w="120" w:type="dxa"/>
              <w:bottom w:w="80" w:type="dxa"/>
              <w:right w:w="120" w:type="dxa"/>
            </w:tcMar>
            <w:vAlign w:val="center"/>
          </w:tcPr>
          <w:p w14:paraId="6CA7A4D2" w14:textId="77777777" w:rsidR="00E9742F" w:rsidRDefault="00000000">
            <w:r>
              <w:rPr>
                <w:color w:val="000000"/>
                <w:sz w:val="19"/>
                <w:szCs w:val="19"/>
              </w:rPr>
              <w:t>3.89</w:t>
            </w:r>
          </w:p>
        </w:tc>
        <w:tc>
          <w:tcPr>
            <w:tcW w:w="2000" w:type="dxa"/>
            <w:tcMar>
              <w:top w:w="80" w:type="dxa"/>
              <w:left w:w="120" w:type="dxa"/>
              <w:bottom w:w="80" w:type="dxa"/>
              <w:right w:w="120" w:type="dxa"/>
            </w:tcMar>
            <w:vAlign w:val="center"/>
          </w:tcPr>
          <w:p w14:paraId="766AFF9A" w14:textId="77777777" w:rsidR="00E9742F" w:rsidRDefault="00000000">
            <w:r>
              <w:rPr>
                <w:color w:val="000000"/>
                <w:sz w:val="19"/>
                <w:szCs w:val="19"/>
              </w:rPr>
              <w:t>782</w:t>
            </w:r>
          </w:p>
        </w:tc>
      </w:tr>
    </w:tbl>
    <w:p w14:paraId="08D01C8F" w14:textId="77777777" w:rsidR="00E9742F" w:rsidRDefault="00E9742F">
      <w:pPr>
        <w:spacing w:after="300"/>
      </w:pPr>
    </w:p>
    <w:p w14:paraId="32E450F3" w14:textId="77777777" w:rsidR="00E9742F" w:rsidRDefault="00000000">
      <w:pPr>
        <w:pStyle w:val="Heading1"/>
      </w:pPr>
      <w:r>
        <w:t>4. Visualizations</w:t>
      </w:r>
    </w:p>
    <w:p w14:paraId="7C02512E" w14:textId="77777777" w:rsidR="00E9742F" w:rsidRDefault="00000000">
      <w:pPr>
        <w:spacing w:after="200" w:line="300" w:lineRule="auto"/>
      </w:pPr>
      <w:r>
        <w:t>I used five visualizations to cover distributions, category comparisons, and relationships between variables, following the task brief. For each one, I have explained why the chart was chosen and what the result tells us.</w:t>
      </w:r>
    </w:p>
    <w:p w14:paraId="7FF15DA3" w14:textId="77777777" w:rsidR="00E9742F" w:rsidRDefault="00000000">
      <w:pPr>
        <w:pStyle w:val="Heading2"/>
      </w:pPr>
      <w:r>
        <w:t>4.1 Figure 1 — Distribution of Actual Delivery Times</w:t>
      </w:r>
    </w:p>
    <w:p w14:paraId="69A22B7A" w14:textId="77777777" w:rsidR="00E9742F" w:rsidRDefault="00000000">
      <w:pPr>
        <w:spacing w:after="200" w:line="300" w:lineRule="auto"/>
      </w:pPr>
      <w:r>
        <w:t>A histogram is useful here because it shows the overall shape of the delivery-time distribution. It makes both the usual delivery window and the right-skew visible, which is something a mean or median on its own would not show.</w:t>
      </w:r>
    </w:p>
    <w:p w14:paraId="0D6ACB81" w14:textId="77777777" w:rsidR="00E9742F" w:rsidRDefault="00000000">
      <w:pPr>
        <w:spacing w:before="120"/>
        <w:jc w:val="center"/>
      </w:pPr>
      <w:r>
        <w:rPr>
          <w:noProof/>
        </w:rPr>
        <w:drawing>
          <wp:inline distT="0" distB="0" distL="0" distR="0" wp14:anchorId="36B92B49" wp14:editId="78BE67A2">
            <wp:extent cx="4953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71800"/>
                    </a:xfrm>
                    <a:prstGeom prst="rect">
                      <a:avLst/>
                    </a:prstGeom>
                  </pic:spPr>
                </pic:pic>
              </a:graphicData>
            </a:graphic>
          </wp:inline>
        </w:drawing>
      </w:r>
    </w:p>
    <w:p w14:paraId="550DC1B8" w14:textId="77777777" w:rsidR="00E9742F" w:rsidRDefault="00000000">
      <w:pPr>
        <w:spacing w:before="80" w:after="240"/>
        <w:jc w:val="center"/>
      </w:pPr>
      <w:r>
        <w:rPr>
          <w:i/>
          <w:iCs/>
          <w:color w:val="595959"/>
          <w:sz w:val="19"/>
          <w:szCs w:val="19"/>
        </w:rPr>
        <w:t>Figure 1</w:t>
      </w:r>
    </w:p>
    <w:p w14:paraId="0BCD8FFB" w14:textId="77777777" w:rsidR="00E9742F" w:rsidRDefault="00000000">
      <w:pPr>
        <w:spacing w:after="200" w:line="300" w:lineRule="auto"/>
      </w:pPr>
      <w:r>
        <w:t>Most orders (about 90%) are delivered within 1–7 days and are concentrated around the 3–</w:t>
      </w:r>
      <w:proofErr w:type="gramStart"/>
      <w:r>
        <w:t>4 day</w:t>
      </w:r>
      <w:proofErr w:type="gramEnd"/>
      <w:r>
        <w:t xml:space="preserve"> median. The few bars extending out to 90 days are the same extreme delays flagged during Week 2, which makes it clear that these are unusual events rather than part of the normal delivery pattern.</w:t>
      </w:r>
    </w:p>
    <w:p w14:paraId="68194561" w14:textId="77777777" w:rsidR="00E9742F" w:rsidRDefault="00000000">
      <w:pPr>
        <w:pStyle w:val="Heading2"/>
      </w:pPr>
      <w:r>
        <w:t>4.2 Figure 2 — Average Transportation Cost by Shipping Mode</w:t>
      </w:r>
    </w:p>
    <w:p w14:paraId="2C879918" w14:textId="77777777" w:rsidR="00E9742F" w:rsidRDefault="00000000">
      <w:pPr>
        <w:spacing w:after="200" w:line="300" w:lineRule="auto"/>
      </w:pPr>
      <w:r>
        <w:t>A bar chart works well for comparing one measure across a small number of categories, which in this case are the four shipping modes.</w:t>
      </w:r>
    </w:p>
    <w:p w14:paraId="6908F50C" w14:textId="77777777" w:rsidR="00E9742F" w:rsidRDefault="00000000">
      <w:pPr>
        <w:spacing w:before="120"/>
        <w:jc w:val="center"/>
      </w:pPr>
      <w:r>
        <w:rPr>
          <w:noProof/>
        </w:rPr>
        <w:lastRenderedPageBreak/>
        <w:drawing>
          <wp:inline distT="0" distB="0" distL="0" distR="0" wp14:anchorId="3B9AA312" wp14:editId="366EAEB3">
            <wp:extent cx="4953000" cy="2971800"/>
            <wp:effectExtent l="0" t="0" r="0" b="0"/>
            <wp:docPr id="2018809907" name="Picture 201880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71800"/>
                    </a:xfrm>
                    <a:prstGeom prst="rect">
                      <a:avLst/>
                    </a:prstGeom>
                  </pic:spPr>
                </pic:pic>
              </a:graphicData>
            </a:graphic>
          </wp:inline>
        </w:drawing>
      </w:r>
    </w:p>
    <w:p w14:paraId="17ADCA91" w14:textId="77777777" w:rsidR="00E9742F" w:rsidRDefault="00000000">
      <w:pPr>
        <w:spacing w:before="80" w:after="240"/>
        <w:jc w:val="center"/>
      </w:pPr>
      <w:r>
        <w:rPr>
          <w:i/>
          <w:iCs/>
          <w:color w:val="595959"/>
          <w:sz w:val="19"/>
          <w:szCs w:val="19"/>
        </w:rPr>
        <w:t>Figure 2</w:t>
      </w:r>
    </w:p>
    <w:p w14:paraId="0140E429" w14:textId="77777777" w:rsidR="00E9742F" w:rsidRDefault="00000000">
      <w:pPr>
        <w:spacing w:after="200" w:line="300" w:lineRule="auto"/>
      </w:pPr>
      <w:r>
        <w:t>Transportation cost rises steadily from Standard Class ($21.24) to Same Day ($38.04), which is a 79% premium for the fastest tier. At the same time, Table 2 shows that average delivery time changes very little across the four tiers (3.82–4.04 days). This suggests that the higher cost is not clearly translating into faster delivery in this sample.</w:t>
      </w:r>
    </w:p>
    <w:p w14:paraId="317DB750" w14:textId="77777777" w:rsidR="00E9742F" w:rsidRDefault="00000000">
      <w:pPr>
        <w:pStyle w:val="Heading2"/>
      </w:pPr>
      <w:r>
        <w:t>4.3 Figure 3 — Correlation Among Key Logistics Variables</w:t>
      </w:r>
    </w:p>
    <w:p w14:paraId="3EEE374E" w14:textId="77777777" w:rsidR="00E9742F" w:rsidRDefault="00000000">
      <w:pPr>
        <w:spacing w:after="200" w:line="300" w:lineRule="auto"/>
      </w:pPr>
      <w:r>
        <w:t xml:space="preserve">A correlation heatmap gives a quick view of the pairwise relationships between the numeric variables. It is more practical here than creating several separate scatterplots, and the </w:t>
      </w:r>
      <w:proofErr w:type="spellStart"/>
      <w:r>
        <w:t>color</w:t>
      </w:r>
      <w:proofErr w:type="spellEnd"/>
      <w:r>
        <w:t xml:space="preserve"> scale makes the stronger relationship stand out from the mostly near-zero correlations.</w:t>
      </w:r>
    </w:p>
    <w:p w14:paraId="53CC7600" w14:textId="77777777" w:rsidR="00E9742F" w:rsidRDefault="00000000">
      <w:pPr>
        <w:spacing w:before="120"/>
        <w:jc w:val="center"/>
      </w:pPr>
      <w:r>
        <w:rPr>
          <w:noProof/>
        </w:rPr>
        <w:drawing>
          <wp:inline distT="0" distB="0" distL="0" distR="0" wp14:anchorId="4F30D59A" wp14:editId="1F7F6737">
            <wp:extent cx="4191000" cy="3352800"/>
            <wp:effectExtent l="0" t="0" r="0" b="0"/>
            <wp:docPr id="1861638999" name="Picture 186163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352800"/>
                    </a:xfrm>
                    <a:prstGeom prst="rect">
                      <a:avLst/>
                    </a:prstGeom>
                  </pic:spPr>
                </pic:pic>
              </a:graphicData>
            </a:graphic>
          </wp:inline>
        </w:drawing>
      </w:r>
    </w:p>
    <w:p w14:paraId="65D7CB3E" w14:textId="77777777" w:rsidR="00E9742F" w:rsidRDefault="00000000">
      <w:pPr>
        <w:spacing w:before="80" w:after="240"/>
        <w:jc w:val="center"/>
      </w:pPr>
      <w:r>
        <w:rPr>
          <w:i/>
          <w:iCs/>
          <w:color w:val="595959"/>
          <w:sz w:val="19"/>
          <w:szCs w:val="19"/>
        </w:rPr>
        <w:lastRenderedPageBreak/>
        <w:t>Figure 3</w:t>
      </w:r>
    </w:p>
    <w:p w14:paraId="229D0349" w14:textId="77777777" w:rsidR="00E9742F" w:rsidRDefault="00000000">
      <w:pPr>
        <w:spacing w:after="200" w:line="300" w:lineRule="auto"/>
      </w:pPr>
      <w:r>
        <w:t xml:space="preserve">Only one relationship is clearly noticeable: </w:t>
      </w:r>
      <w:proofErr w:type="spellStart"/>
      <w:r>
        <w:t>transportation_cost</w:t>
      </w:r>
      <w:proofErr w:type="spellEnd"/>
      <w:r>
        <w:t xml:space="preserve"> and </w:t>
      </w:r>
      <w:proofErr w:type="spellStart"/>
      <w:r>
        <w:t>order_item_quantity</w:t>
      </w:r>
      <w:proofErr w:type="spellEnd"/>
      <w:r>
        <w:t xml:space="preserve"> (r = 0.49). Delivery time has a weak correlation with </w:t>
      </w:r>
      <w:proofErr w:type="spellStart"/>
      <w:r>
        <w:t>late_delivery_risk</w:t>
      </w:r>
      <w:proofErr w:type="spellEnd"/>
      <w:r>
        <w:t xml:space="preserve"> (r = 0.15), which is expected because the risk field is derived from delivery performance. Apart from that, delivery time is essentially unrelated to cost, sales, and quantity (all |r| ≤ 0.03). Profit per order is also largely uncorrelated with the operational variables shown.</w:t>
      </w:r>
    </w:p>
    <w:p w14:paraId="7C93C15C" w14:textId="77777777" w:rsidR="00E9742F" w:rsidRDefault="00000000">
      <w:pPr>
        <w:pStyle w:val="Heading2"/>
      </w:pPr>
      <w:r>
        <w:t>4.4 Figure 4 — Transportation Cost vs. Delivery Time, by Shipping Mode</w:t>
      </w:r>
    </w:p>
    <w:p w14:paraId="4B6DEF51" w14:textId="77777777" w:rsidR="00E9742F" w:rsidRDefault="00000000">
      <w:pPr>
        <w:spacing w:after="200" w:line="300" w:lineRule="auto"/>
      </w:pPr>
      <w:r>
        <w:t>A scatterplot lets us look at the relationship between two continuous variables at the individual-order level rather than only comparing group averages. Using shipping mode as the colour also helps check whether the cost tiers separate along the delivery-time axis.</w:t>
      </w:r>
    </w:p>
    <w:p w14:paraId="5382CADE" w14:textId="77777777" w:rsidR="00E9742F" w:rsidRDefault="00000000">
      <w:pPr>
        <w:spacing w:before="120"/>
        <w:jc w:val="center"/>
      </w:pPr>
      <w:r>
        <w:rPr>
          <w:noProof/>
        </w:rPr>
        <w:drawing>
          <wp:inline distT="0" distB="0" distL="0" distR="0" wp14:anchorId="75A75C87" wp14:editId="3095A60C">
            <wp:extent cx="4953000" cy="3181350"/>
            <wp:effectExtent l="0" t="0" r="0" b="0"/>
            <wp:docPr id="1539675396" name="Picture 153967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181350"/>
                    </a:xfrm>
                    <a:prstGeom prst="rect">
                      <a:avLst/>
                    </a:prstGeom>
                  </pic:spPr>
                </pic:pic>
              </a:graphicData>
            </a:graphic>
          </wp:inline>
        </w:drawing>
      </w:r>
    </w:p>
    <w:p w14:paraId="5BAD9BAF" w14:textId="77777777" w:rsidR="00E9742F" w:rsidRDefault="00000000">
      <w:pPr>
        <w:spacing w:before="80" w:after="240"/>
        <w:jc w:val="center"/>
      </w:pPr>
      <w:r>
        <w:rPr>
          <w:i/>
          <w:iCs/>
          <w:color w:val="595959"/>
          <w:sz w:val="19"/>
          <w:szCs w:val="19"/>
        </w:rPr>
        <w:t>Figure 4</w:t>
      </w:r>
    </w:p>
    <w:p w14:paraId="2E3A7E23" w14:textId="77777777" w:rsidR="00E9742F" w:rsidRDefault="00000000">
      <w:pPr>
        <w:spacing w:after="200" w:line="300" w:lineRule="auto"/>
      </w:pPr>
      <w:r>
        <w:t>The four shipping modes form distinct horizontal cost bands, which is consistent with the pricing tiers used in the simulation. However, they do not separate along the delivery-time axis. The few extreme delays between 45 and 90 days appear across the different cost bands and shipping modes, so the extreme delays are not concentrated in one particular service tier.</w:t>
      </w:r>
    </w:p>
    <w:p w14:paraId="1505DE55" w14:textId="77777777" w:rsidR="00E9742F" w:rsidRDefault="00000000">
      <w:pPr>
        <w:pStyle w:val="Heading2"/>
      </w:pPr>
      <w:r>
        <w:t>4.5 Figure 5 — Late-Delivery Rate by Market</w:t>
      </w:r>
    </w:p>
    <w:p w14:paraId="1D2F1FA6" w14:textId="77777777" w:rsidR="00E9742F" w:rsidRDefault="00000000">
      <w:pPr>
        <w:spacing w:after="200" w:line="300" w:lineRule="auto"/>
      </w:pPr>
      <w:r>
        <w:t>A sorted bar chart is a simple way to rank the five markets by one rate and see how large the difference between them really is.</w:t>
      </w:r>
    </w:p>
    <w:p w14:paraId="33DDE2B2" w14:textId="77777777" w:rsidR="00E9742F" w:rsidRDefault="00000000">
      <w:pPr>
        <w:spacing w:before="120"/>
        <w:jc w:val="center"/>
      </w:pPr>
      <w:r>
        <w:rPr>
          <w:noProof/>
        </w:rPr>
        <w:lastRenderedPageBreak/>
        <w:drawing>
          <wp:inline distT="0" distB="0" distL="0" distR="0" wp14:anchorId="780FEFB3" wp14:editId="166BA1F6">
            <wp:extent cx="4953000" cy="2971800"/>
            <wp:effectExtent l="0" t="0" r="0" b="0"/>
            <wp:docPr id="1288118616" name="Picture 128811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71800"/>
                    </a:xfrm>
                    <a:prstGeom prst="rect">
                      <a:avLst/>
                    </a:prstGeom>
                  </pic:spPr>
                </pic:pic>
              </a:graphicData>
            </a:graphic>
          </wp:inline>
        </w:drawing>
      </w:r>
    </w:p>
    <w:p w14:paraId="624E93C3" w14:textId="77777777" w:rsidR="00E9742F" w:rsidRDefault="00000000">
      <w:pPr>
        <w:spacing w:before="80" w:after="240"/>
        <w:jc w:val="center"/>
      </w:pPr>
      <w:r>
        <w:rPr>
          <w:i/>
          <w:iCs/>
          <w:color w:val="595959"/>
          <w:sz w:val="19"/>
          <w:szCs w:val="19"/>
        </w:rPr>
        <w:t>Figure 5</w:t>
      </w:r>
    </w:p>
    <w:p w14:paraId="7B879C84" w14:textId="77777777" w:rsidR="00E9742F" w:rsidRDefault="00000000">
      <w:pPr>
        <w:spacing w:after="200" w:line="300" w:lineRule="auto"/>
      </w:pPr>
      <w:r>
        <w:t xml:space="preserve">Late-delivery rate is close to 50% across all five markets, with only a 2.4-point range from 47.3% in Europe to 49.7% in Africa. Because the rates are so similar, the pattern suggests that </w:t>
      </w:r>
      <w:proofErr w:type="spellStart"/>
      <w:r>
        <w:t>scheduled_shipping_days</w:t>
      </w:r>
      <w:proofErr w:type="spellEnd"/>
      <w:r>
        <w:t xml:space="preserve"> may be too strict or </w:t>
      </w:r>
      <w:proofErr w:type="spellStart"/>
      <w:r>
        <w:t>miscalibrated</w:t>
      </w:r>
      <w:proofErr w:type="spellEnd"/>
      <w:r>
        <w:t xml:space="preserve"> across the network rather than the problem being limited to one market.</w:t>
      </w:r>
    </w:p>
    <w:p w14:paraId="1C8C7DC0" w14:textId="77777777" w:rsidR="00E9742F" w:rsidRDefault="00000000">
      <w:pPr>
        <w:pStyle w:val="Heading1"/>
      </w:pPr>
      <w:r>
        <w:t>5. Analytical Insights &amp; Recommendations</w:t>
      </w:r>
    </w:p>
    <w:p w14:paraId="54C0E3B9" w14:textId="77777777" w:rsidR="00E9742F" w:rsidRDefault="00000000">
      <w:pPr>
        <w:spacing w:after="200" w:line="300" w:lineRule="auto"/>
      </w:pPr>
      <w:r>
        <w:t>Five practical findings come directly from the tables and figures above, and each one points to a specific recommendation:</w:t>
      </w:r>
    </w:p>
    <w:p w14:paraId="06ED1A29" w14:textId="77777777" w:rsidR="00E9742F" w:rsidRDefault="00000000">
      <w:pPr>
        <w:pStyle w:val="ListParagraph"/>
        <w:numPr>
          <w:ilvl w:val="0"/>
          <w:numId w:val="2"/>
        </w:numPr>
        <w:spacing w:after="100" w:line="280" w:lineRule="auto"/>
      </w:pPr>
      <w:r>
        <w:t>Premium shipping tiers do not consistently deliver faster in this sample. Cost increases by 79% from Standard Class to Same Day, while average delivery time remains almost unchanged (3.82–4.04 days). Recommendation: review the carrier SLAs for the premium tiers before assuming the extra cost is justified. If Same Day and First Class are not arriving noticeably faster, the business may be paying for a service level that is not being delivered.</w:t>
      </w:r>
    </w:p>
    <w:p w14:paraId="5111443A" w14:textId="77777777" w:rsidR="00E9742F" w:rsidRDefault="00000000">
      <w:pPr>
        <w:pStyle w:val="ListParagraph"/>
        <w:numPr>
          <w:ilvl w:val="0"/>
          <w:numId w:val="2"/>
        </w:numPr>
        <w:spacing w:after="100" w:line="280" w:lineRule="auto"/>
      </w:pPr>
      <w:r>
        <w:t xml:space="preserve">Shipment volume appears to be the main cost driver in this sample. </w:t>
      </w:r>
      <w:proofErr w:type="spellStart"/>
      <w:r>
        <w:t>transportation_cost</w:t>
      </w:r>
      <w:proofErr w:type="spellEnd"/>
      <w:r>
        <w:t xml:space="preserve"> has a stronger relationship with </w:t>
      </w:r>
      <w:proofErr w:type="spellStart"/>
      <w:r>
        <w:t>order_item_quantity</w:t>
      </w:r>
      <w:proofErr w:type="spellEnd"/>
      <w:r>
        <w:t xml:space="preserve"> (r = 0.49) than with the other variables examined. Recommendation: focus cost-reduction work, such as carrier negotiation or shipment consolidation, on higher-volume orders rather than relying mainly on changes in service tier.</w:t>
      </w:r>
    </w:p>
    <w:p w14:paraId="1E733ACA" w14:textId="77777777" w:rsidR="00E9742F" w:rsidRDefault="00000000">
      <w:pPr>
        <w:pStyle w:val="ListParagraph"/>
        <w:numPr>
          <w:ilvl w:val="0"/>
          <w:numId w:val="2"/>
        </w:numPr>
        <w:spacing w:after="100" w:line="280" w:lineRule="auto"/>
      </w:pPr>
      <w:r>
        <w:t>Delivery delays appear to be driven mainly by a small number of extreme cases rather than by a general slowdown. The gap between the mean and median (3.92 vs. 3.00 days) and the long tail in Figure 1 are both linked to the roughly 30 flagged extreme-delay orders (0.8% of the dataset). Recommendation: review those orders individually because they may point to a specific carrier, route, or customs bottleneck that a broad process change would not reveal.</w:t>
      </w:r>
    </w:p>
    <w:p w14:paraId="45A3296E" w14:textId="77777777" w:rsidR="00E9742F" w:rsidRDefault="00000000">
      <w:pPr>
        <w:pStyle w:val="ListParagraph"/>
        <w:numPr>
          <w:ilvl w:val="0"/>
          <w:numId w:val="2"/>
        </w:numPr>
        <w:spacing w:after="100" w:line="280" w:lineRule="auto"/>
      </w:pPr>
      <w:r>
        <w:lastRenderedPageBreak/>
        <w:t>Late-delivery risk is fairly consistent across markets (47.3%–49.7%). With less than 2.5 percentage points between the highest and lowest market, geography alone does not explain the delay pattern here. Recommendation: treat the near-50% late rate as a possible network-wide scheduling-calibration issue rather than a problem belonging to one region.</w:t>
      </w:r>
    </w:p>
    <w:p w14:paraId="1F7936D5" w14:textId="77777777" w:rsidR="00E9742F" w:rsidRDefault="00000000">
      <w:pPr>
        <w:pStyle w:val="ListParagraph"/>
        <w:numPr>
          <w:ilvl w:val="0"/>
          <w:numId w:val="2"/>
        </w:numPr>
        <w:spacing w:after="100" w:line="280" w:lineRule="auto"/>
      </w:pPr>
      <w:r>
        <w:t xml:space="preserve">Order profitability appears to be separate from the shipping decisions in this sample. </w:t>
      </w:r>
      <w:proofErr w:type="spellStart"/>
      <w:r>
        <w:t>benefit_per_order</w:t>
      </w:r>
      <w:proofErr w:type="spellEnd"/>
      <w:r>
        <w:t xml:space="preserve"> has negligible correlation (|r| ≤ 0.03) with cost, quantity, and delivery time, while ranging from a $158.62 loss to a $161.70 gain. Recommendation: investigate profitability issues such as pricing and discounting separately from logistics performance, because the shipping variables do not explain much of the variation here.</w:t>
      </w:r>
    </w:p>
    <w:p w14:paraId="08394301" w14:textId="77777777" w:rsidR="00E9742F" w:rsidRDefault="00000000">
      <w:pPr>
        <w:pStyle w:val="Heading1"/>
      </w:pPr>
      <w:r>
        <w:t>6. Python Implementation (Code Documentation)</w:t>
      </w:r>
    </w:p>
    <w:p w14:paraId="17CC24A1" w14:textId="77777777" w:rsidR="00E9742F" w:rsidRDefault="00000000">
      <w:pPr>
        <w:spacing w:after="200" w:line="300" w:lineRule="auto"/>
      </w:pPr>
      <w:r>
        <w:t>The snippets below are trimmed for readability; the complete script — including the Week 2 pipeline it builds on — is included in the accompanying GitHub repository.</w:t>
      </w:r>
    </w:p>
    <w:p w14:paraId="0DA5EEDC" w14:textId="77777777" w:rsidR="00E9742F" w:rsidRDefault="00000000">
      <w:pPr>
        <w:pStyle w:val="Heading2"/>
      </w:pPr>
      <w:r>
        <w:t>6.1 Simulating transportation cost</w:t>
      </w:r>
    </w:p>
    <w:p w14:paraId="31C93481" w14:textId="77777777" w:rsidR="00E9742F" w:rsidRDefault="00000000">
      <w:pPr>
        <w:shd w:val="clear" w:color="auto" w:fill="F2F2F2"/>
        <w:spacing w:line="250" w:lineRule="auto"/>
        <w:ind w:left="200" w:right="200"/>
      </w:pPr>
      <w:proofErr w:type="spellStart"/>
      <w:r>
        <w:rPr>
          <w:rFonts w:ascii="Consolas" w:eastAsia="Consolas" w:hAnsi="Consolas" w:cs="Consolas"/>
          <w:sz w:val="18"/>
          <w:szCs w:val="18"/>
        </w:rPr>
        <w:t>base_rate</w:t>
      </w:r>
      <w:proofErr w:type="spellEnd"/>
      <w:r>
        <w:rPr>
          <w:rFonts w:ascii="Consolas" w:eastAsia="Consolas" w:hAnsi="Consolas" w:cs="Consolas"/>
          <w:sz w:val="18"/>
          <w:szCs w:val="18"/>
        </w:rPr>
        <w:t xml:space="preserve"> = {"Standard Class": 8, "Second Class": 12,</w:t>
      </w:r>
    </w:p>
    <w:p w14:paraId="0EF016C0"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"First Class": 18, "Same Day": 25}</w:t>
      </w:r>
    </w:p>
    <w:p w14:paraId="2BA58E15" w14:textId="77777777" w:rsidR="00E9742F" w:rsidRDefault="00000000">
      <w:pPr>
        <w:shd w:val="clear" w:color="auto" w:fill="F2F2F2"/>
        <w:spacing w:line="250" w:lineRule="auto"/>
        <w:ind w:left="200" w:right="200"/>
      </w:pPr>
      <w:proofErr w:type="spellStart"/>
      <w:r>
        <w:rPr>
          <w:rFonts w:ascii="Consolas" w:eastAsia="Consolas" w:hAnsi="Consolas" w:cs="Consolas"/>
          <w:sz w:val="18"/>
          <w:szCs w:val="18"/>
        </w:rPr>
        <w:t>market_surcharge</w:t>
      </w:r>
      <w:proofErr w:type="spellEnd"/>
      <w:r>
        <w:rPr>
          <w:rFonts w:ascii="Consolas" w:eastAsia="Consolas" w:hAnsi="Consolas" w:cs="Consolas"/>
          <w:sz w:val="18"/>
          <w:szCs w:val="18"/>
        </w:rPr>
        <w:t xml:space="preserve"> = {"USCA": 3, "LATAM": 4, "Europe": 6,</w:t>
      </w:r>
    </w:p>
    <w:p w14:paraId="0948764D"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"Pacific Asia": 7, "Africa": 8}</w:t>
      </w:r>
    </w:p>
    <w:p w14:paraId="3BEF2411"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
    <w:p w14:paraId="60476D93" w14:textId="77777777" w:rsidR="00E9742F" w:rsidRDefault="00000000">
      <w:pPr>
        <w:shd w:val="clear" w:color="auto" w:fill="F2F2F2"/>
        <w:spacing w:line="250" w:lineRule="auto"/>
        <w:ind w:left="200" w:righ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transportation_cost</w:t>
      </w:r>
      <w:proofErr w:type="spellEnd"/>
      <w:r>
        <w:rPr>
          <w:rFonts w:ascii="Consolas" w:eastAsia="Consolas" w:hAnsi="Consolas" w:cs="Consolas"/>
          <w:sz w:val="18"/>
          <w:szCs w:val="18"/>
        </w:rPr>
        <w:t>"] = (</w:t>
      </w:r>
    </w:p>
    <w:p w14:paraId="2F439298"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shipping_mode</w:t>
      </w:r>
      <w:proofErr w:type="spellEnd"/>
      <w:r>
        <w:rPr>
          <w:rFonts w:ascii="Consolas" w:eastAsia="Consolas" w:hAnsi="Consolas" w:cs="Consolas"/>
          <w:sz w:val="18"/>
          <w:szCs w:val="18"/>
        </w:rPr>
        <w:t>"</w:t>
      </w:r>
      <w:proofErr w:type="gramStart"/>
      <w:r>
        <w:rPr>
          <w:rFonts w:ascii="Consolas" w:eastAsia="Consolas" w:hAnsi="Consolas" w:cs="Consolas"/>
          <w:sz w:val="18"/>
          <w:szCs w:val="18"/>
        </w:rPr>
        <w:t>].map</w:t>
      </w:r>
      <w:proofErr w:type="gramEnd"/>
      <w:r>
        <w:rPr>
          <w:rFonts w:ascii="Consolas" w:eastAsia="Consolas" w:hAnsi="Consolas" w:cs="Consolas"/>
          <w:sz w:val="18"/>
          <w:szCs w:val="18"/>
        </w:rPr>
        <w:t>(</w:t>
      </w:r>
      <w:proofErr w:type="spellStart"/>
      <w:r>
        <w:rPr>
          <w:rFonts w:ascii="Consolas" w:eastAsia="Consolas" w:hAnsi="Consolas" w:cs="Consolas"/>
          <w:sz w:val="18"/>
          <w:szCs w:val="18"/>
        </w:rPr>
        <w:t>base_rate</w:t>
      </w:r>
      <w:proofErr w:type="spellEnd"/>
      <w:r>
        <w:rPr>
          <w:rFonts w:ascii="Consolas" w:eastAsia="Consolas" w:hAnsi="Consolas" w:cs="Consolas"/>
          <w:sz w:val="18"/>
          <w:szCs w:val="18"/>
        </w:rPr>
        <w:t>)</w:t>
      </w:r>
    </w:p>
    <w:p w14:paraId="4E5BA42A"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order_item_quantity</w:t>
      </w:r>
      <w:proofErr w:type="spellEnd"/>
      <w:r>
        <w:rPr>
          <w:rFonts w:ascii="Consolas" w:eastAsia="Consolas" w:hAnsi="Consolas" w:cs="Consolas"/>
          <w:sz w:val="18"/>
          <w:szCs w:val="18"/>
        </w:rPr>
        <w:t>"] * 2.5</w:t>
      </w:r>
    </w:p>
    <w:p w14:paraId="2CB5BC05"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["market"</w:t>
      </w:r>
      <w:proofErr w:type="gramStart"/>
      <w:r>
        <w:rPr>
          <w:rFonts w:ascii="Consolas" w:eastAsia="Consolas" w:hAnsi="Consolas" w:cs="Consolas"/>
          <w:sz w:val="18"/>
          <w:szCs w:val="18"/>
        </w:rPr>
        <w:t>].map</w:t>
      </w:r>
      <w:proofErr w:type="gramEnd"/>
      <w:r>
        <w:rPr>
          <w:rFonts w:ascii="Consolas" w:eastAsia="Consolas" w:hAnsi="Consolas" w:cs="Consolas"/>
          <w:sz w:val="18"/>
          <w:szCs w:val="18"/>
        </w:rPr>
        <w:t>(</w:t>
      </w:r>
      <w:proofErr w:type="spellStart"/>
      <w:r>
        <w:rPr>
          <w:rFonts w:ascii="Consolas" w:eastAsia="Consolas" w:hAnsi="Consolas" w:cs="Consolas"/>
          <w:sz w:val="18"/>
          <w:szCs w:val="18"/>
        </w:rPr>
        <w:t>market_surcharge</w:t>
      </w:r>
      <w:proofErr w:type="spellEnd"/>
      <w:r>
        <w:rPr>
          <w:rFonts w:ascii="Consolas" w:eastAsia="Consolas" w:hAnsi="Consolas" w:cs="Consolas"/>
          <w:sz w:val="18"/>
          <w:szCs w:val="18"/>
        </w:rPr>
        <w:t>)</w:t>
      </w:r>
    </w:p>
    <w:p w14:paraId="52FAE0B6"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np.random</w:t>
      </w:r>
      <w:proofErr w:type="gramEnd"/>
      <w:r>
        <w:rPr>
          <w:rFonts w:ascii="Consolas" w:eastAsia="Consolas" w:hAnsi="Consolas" w:cs="Consolas"/>
          <w:sz w:val="18"/>
          <w:szCs w:val="18"/>
        </w:rPr>
        <w:t>.</w:t>
      </w:r>
      <w:proofErr w:type="gramStart"/>
      <w:r>
        <w:rPr>
          <w:rFonts w:ascii="Consolas" w:eastAsia="Consolas" w:hAnsi="Consolas" w:cs="Consolas"/>
          <w:sz w:val="18"/>
          <w:szCs w:val="18"/>
        </w:rPr>
        <w:t>normal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0, 3,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7D8B783C" w14:textId="77777777" w:rsidR="00E9742F" w:rsidRDefault="00000000">
      <w:pPr>
        <w:shd w:val="clear" w:color="auto" w:fill="F2F2F2"/>
        <w:spacing w:line="250" w:lineRule="auto"/>
        <w:ind w:left="200" w:right="200"/>
      </w:pPr>
      <w:proofErr w:type="gramStart"/>
      <w:r>
        <w:rPr>
          <w:rFonts w:ascii="Consolas" w:eastAsia="Consolas" w:hAnsi="Consolas" w:cs="Consolas"/>
          <w:sz w:val="18"/>
          <w:szCs w:val="18"/>
        </w:rPr>
        <w:t>).clip</w:t>
      </w:r>
      <w:proofErr w:type="gramEnd"/>
      <w:r>
        <w:rPr>
          <w:rFonts w:ascii="Consolas" w:eastAsia="Consolas" w:hAnsi="Consolas" w:cs="Consolas"/>
          <w:sz w:val="18"/>
          <w:szCs w:val="18"/>
        </w:rPr>
        <w:t>(lower=5</w:t>
      </w:r>
      <w:proofErr w:type="gramStart"/>
      <w:r>
        <w:rPr>
          <w:rFonts w:ascii="Consolas" w:eastAsia="Consolas" w:hAnsi="Consolas" w:cs="Consolas"/>
          <w:sz w:val="18"/>
          <w:szCs w:val="18"/>
        </w:rPr>
        <w:t>).round</w:t>
      </w:r>
      <w:proofErr w:type="gramEnd"/>
      <w:r>
        <w:rPr>
          <w:rFonts w:ascii="Consolas" w:eastAsia="Consolas" w:hAnsi="Consolas" w:cs="Consolas"/>
          <w:sz w:val="18"/>
          <w:szCs w:val="18"/>
        </w:rPr>
        <w:t>(2)</w:t>
      </w:r>
    </w:p>
    <w:p w14:paraId="6A9098FE" w14:textId="77777777" w:rsidR="00E9742F" w:rsidRDefault="00E9742F">
      <w:pPr>
        <w:spacing w:after="240"/>
      </w:pPr>
    </w:p>
    <w:p w14:paraId="484A4A93" w14:textId="77777777" w:rsidR="00E9742F" w:rsidRDefault="00000000">
      <w:pPr>
        <w:pStyle w:val="Heading2"/>
      </w:pPr>
      <w:r>
        <w:t>6.2 Descriptive statistics &amp; correlation</w:t>
      </w:r>
    </w:p>
    <w:p w14:paraId="651BBE5E" w14:textId="77777777" w:rsidR="00E9742F" w:rsidRDefault="00000000">
      <w:pPr>
        <w:shd w:val="clear" w:color="auto" w:fill="F2F2F2"/>
        <w:spacing w:line="250" w:lineRule="auto"/>
        <w:ind w:left="200" w:right="200"/>
      </w:pPr>
      <w:proofErr w:type="spellStart"/>
      <w:r>
        <w:rPr>
          <w:rFonts w:ascii="Consolas" w:eastAsia="Consolas" w:hAnsi="Consolas" w:cs="Consolas"/>
          <w:sz w:val="18"/>
          <w:szCs w:val="18"/>
        </w:rPr>
        <w:t>num_cols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actual_shipping_days</w:t>
      </w:r>
      <w:proofErr w:type="spellEnd"/>
      <w:r>
        <w:rPr>
          <w:rFonts w:ascii="Consolas" w:eastAsia="Consolas" w:hAnsi="Consolas" w:cs="Consolas"/>
          <w:sz w:val="18"/>
          <w:szCs w:val="18"/>
        </w:rPr>
        <w:t>", "</w:t>
      </w:r>
      <w:proofErr w:type="spellStart"/>
      <w:r>
        <w:rPr>
          <w:rFonts w:ascii="Consolas" w:eastAsia="Consolas" w:hAnsi="Consolas" w:cs="Consolas"/>
          <w:sz w:val="18"/>
          <w:szCs w:val="18"/>
        </w:rPr>
        <w:t>sales_capped</w:t>
      </w:r>
      <w:proofErr w:type="spellEnd"/>
      <w:r>
        <w:rPr>
          <w:rFonts w:ascii="Consolas" w:eastAsia="Consolas" w:hAnsi="Consolas" w:cs="Consolas"/>
          <w:sz w:val="18"/>
          <w:szCs w:val="18"/>
        </w:rPr>
        <w:t>",</w:t>
      </w:r>
    </w:p>
    <w:p w14:paraId="74631B99"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transportation</w:t>
      </w:r>
      <w:proofErr w:type="gramEnd"/>
      <w:r>
        <w:rPr>
          <w:rFonts w:ascii="Consolas" w:eastAsia="Consolas" w:hAnsi="Consolas" w:cs="Consolas"/>
          <w:sz w:val="18"/>
          <w:szCs w:val="18"/>
        </w:rPr>
        <w:t>_cost</w:t>
      </w:r>
      <w:proofErr w:type="spellEnd"/>
      <w:r>
        <w:rPr>
          <w:rFonts w:ascii="Consolas" w:eastAsia="Consolas" w:hAnsi="Consolas" w:cs="Consolas"/>
          <w:sz w:val="18"/>
          <w:szCs w:val="18"/>
        </w:rPr>
        <w:t>", "</w:t>
      </w:r>
      <w:proofErr w:type="spellStart"/>
      <w:r>
        <w:rPr>
          <w:rFonts w:ascii="Consolas" w:eastAsia="Consolas" w:hAnsi="Consolas" w:cs="Consolas"/>
          <w:sz w:val="18"/>
          <w:szCs w:val="18"/>
        </w:rPr>
        <w:t>order_item_quantity</w:t>
      </w:r>
      <w:proofErr w:type="spellEnd"/>
      <w:r>
        <w:rPr>
          <w:rFonts w:ascii="Consolas" w:eastAsia="Consolas" w:hAnsi="Consolas" w:cs="Consolas"/>
          <w:sz w:val="18"/>
          <w:szCs w:val="18"/>
        </w:rPr>
        <w:t>",</w:t>
      </w:r>
    </w:p>
    <w:p w14:paraId="1926BBAA"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benefit</w:t>
      </w:r>
      <w:proofErr w:type="gramEnd"/>
      <w:r>
        <w:rPr>
          <w:rFonts w:ascii="Consolas" w:eastAsia="Consolas" w:hAnsi="Consolas" w:cs="Consolas"/>
          <w:sz w:val="18"/>
          <w:szCs w:val="18"/>
        </w:rPr>
        <w:t>_per_order</w:t>
      </w:r>
      <w:proofErr w:type="spellEnd"/>
      <w:r>
        <w:rPr>
          <w:rFonts w:ascii="Consolas" w:eastAsia="Consolas" w:hAnsi="Consolas" w:cs="Consolas"/>
          <w:sz w:val="18"/>
          <w:szCs w:val="18"/>
        </w:rPr>
        <w:t>"]</w:t>
      </w:r>
    </w:p>
    <w:p w14:paraId="7DFA1EA1"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
    <w:p w14:paraId="7F75F754" w14:textId="77777777" w:rsidR="00E9742F" w:rsidRDefault="00000000">
      <w:pPr>
        <w:shd w:val="clear" w:color="auto" w:fill="F2F2F2"/>
        <w:spacing w:line="250" w:lineRule="auto"/>
        <w:ind w:left="200" w:righ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num_cols</w:t>
      </w:r>
      <w:proofErr w:type="spellEnd"/>
      <w:proofErr w:type="gramStart"/>
      <w:r>
        <w:rPr>
          <w:rFonts w:ascii="Consolas" w:eastAsia="Consolas" w:hAnsi="Consolas" w:cs="Consolas"/>
          <w:sz w:val="18"/>
          <w:szCs w:val="18"/>
        </w:rPr>
        <w:t>].describe</w:t>
      </w:r>
      <w:proofErr w:type="gramEnd"/>
      <w:r>
        <w:rPr>
          <w:rFonts w:ascii="Consolas" w:eastAsia="Consolas" w:hAnsi="Consolas" w:cs="Consolas"/>
          <w:sz w:val="18"/>
          <w:szCs w:val="18"/>
        </w:rPr>
        <w:t>(</w:t>
      </w:r>
      <w:proofErr w:type="gramStart"/>
      <w:r>
        <w:rPr>
          <w:rFonts w:ascii="Consolas" w:eastAsia="Consolas" w:hAnsi="Consolas" w:cs="Consolas"/>
          <w:sz w:val="18"/>
          <w:szCs w:val="18"/>
        </w:rPr>
        <w:t>).T</w:t>
      </w:r>
      <w:proofErr w:type="gramEnd"/>
      <w:r>
        <w:rPr>
          <w:rFonts w:ascii="Consolas" w:eastAsia="Consolas" w:hAnsi="Consolas" w:cs="Consolas"/>
          <w:sz w:val="18"/>
          <w:szCs w:val="18"/>
        </w:rPr>
        <w:t>[["mean", "50%", "std", "min", "max"]]</w:t>
      </w:r>
    </w:p>
    <w:p w14:paraId="6B9E40A2" w14:textId="77777777" w:rsidR="00E9742F" w:rsidRDefault="00000000">
      <w:pPr>
        <w:shd w:val="clear" w:color="auto" w:fill="F2F2F2"/>
        <w:spacing w:line="250" w:lineRule="auto"/>
        <w:ind w:left="200" w:right="200"/>
      </w:pPr>
      <w:proofErr w:type="spellStart"/>
      <w:r>
        <w:rPr>
          <w:rFonts w:ascii="Consolas" w:eastAsia="Consolas" w:hAnsi="Consolas" w:cs="Consolas"/>
          <w:sz w:val="18"/>
          <w:szCs w:val="18"/>
        </w:rPr>
        <w:t>corr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num_cols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late_delivery_risk</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corr</w:t>
      </w:r>
      <w:proofErr w:type="spellEnd"/>
      <w:proofErr w:type="gramEnd"/>
      <w:r>
        <w:rPr>
          <w:rFonts w:ascii="Consolas" w:eastAsia="Consolas" w:hAnsi="Consolas" w:cs="Consolas"/>
          <w:sz w:val="18"/>
          <w:szCs w:val="18"/>
        </w:rPr>
        <w:t>()</w:t>
      </w:r>
    </w:p>
    <w:p w14:paraId="31226F14" w14:textId="77777777" w:rsidR="00E9742F" w:rsidRDefault="00E9742F">
      <w:pPr>
        <w:spacing w:after="240"/>
      </w:pPr>
    </w:p>
    <w:p w14:paraId="110C1F38" w14:textId="77777777" w:rsidR="00E9742F" w:rsidRDefault="00000000">
      <w:pPr>
        <w:pStyle w:val="Heading2"/>
      </w:pPr>
      <w:r>
        <w:t>6.3 Grouped summaries (by shipping mode and market)</w:t>
      </w:r>
    </w:p>
    <w:p w14:paraId="19166FBA"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shipping_mode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0CC8F7E2"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avg_cost</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transportation_cost</w:t>
      </w:r>
      <w:proofErr w:type="spellEnd"/>
      <w:r>
        <w:rPr>
          <w:rFonts w:ascii="Consolas" w:eastAsia="Consolas" w:hAnsi="Consolas" w:cs="Consolas"/>
          <w:sz w:val="18"/>
          <w:szCs w:val="18"/>
        </w:rPr>
        <w:t>", "mean"),</w:t>
      </w:r>
    </w:p>
    <w:p w14:paraId="14DA4D41"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avg_delivery_days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actual_shipping_days</w:t>
      </w:r>
      <w:proofErr w:type="spellEnd"/>
      <w:r>
        <w:rPr>
          <w:rFonts w:ascii="Consolas" w:eastAsia="Consolas" w:hAnsi="Consolas" w:cs="Consolas"/>
          <w:sz w:val="18"/>
          <w:szCs w:val="18"/>
        </w:rPr>
        <w:t>", "mean"),</w:t>
      </w:r>
    </w:p>
    <w:p w14:paraId="15D27A47"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orders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"count"))</w:t>
      </w:r>
    </w:p>
    <w:p w14:paraId="46A9AA18"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
    <w:p w14:paraId="75EF2C50"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("market"</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7383F1D8"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late_rate_pct</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late_delivery_risk</w:t>
      </w:r>
      <w:proofErr w:type="spellEnd"/>
      <w:r>
        <w:rPr>
          <w:rFonts w:ascii="Consolas" w:eastAsia="Consolas" w:hAnsi="Consolas" w:cs="Consolas"/>
          <w:sz w:val="18"/>
          <w:szCs w:val="18"/>
        </w:rPr>
        <w:t>",</w:t>
      </w:r>
    </w:p>
    <w:p w14:paraId="27E1E42E"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lambda s: round(</w:t>
      </w:r>
      <w:proofErr w:type="spellStart"/>
      <w:proofErr w:type="gramStart"/>
      <w:r>
        <w:rPr>
          <w:rFonts w:ascii="Consolas" w:eastAsia="Consolas" w:hAnsi="Consolas" w:cs="Consolas"/>
          <w:sz w:val="18"/>
          <w:szCs w:val="18"/>
        </w:rPr>
        <w:t>s.mean</w:t>
      </w:r>
      <w:proofErr w:type="spellEnd"/>
      <w:proofErr w:type="gramEnd"/>
      <w:r>
        <w:rPr>
          <w:rFonts w:ascii="Consolas" w:eastAsia="Consolas" w:hAnsi="Consolas" w:cs="Consolas"/>
          <w:sz w:val="18"/>
          <w:szCs w:val="18"/>
        </w:rPr>
        <w:t>() * 100, 1)),</w:t>
      </w:r>
    </w:p>
    <w:p w14:paraId="1FFB842A"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avg_delivery_days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actual_shipping_days</w:t>
      </w:r>
      <w:proofErr w:type="spellEnd"/>
      <w:r>
        <w:rPr>
          <w:rFonts w:ascii="Consolas" w:eastAsia="Consolas" w:hAnsi="Consolas" w:cs="Consolas"/>
          <w:sz w:val="18"/>
          <w:szCs w:val="18"/>
        </w:rPr>
        <w:t>", "mean"),</w:t>
      </w:r>
    </w:p>
    <w:p w14:paraId="0F0A15BA"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orders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"count"))</w:t>
      </w:r>
    </w:p>
    <w:p w14:paraId="10F04B94" w14:textId="77777777" w:rsidR="00E9742F" w:rsidRDefault="00E9742F">
      <w:pPr>
        <w:spacing w:after="240"/>
      </w:pPr>
    </w:p>
    <w:p w14:paraId="6D90196C" w14:textId="77777777" w:rsidR="00E9742F" w:rsidRDefault="00000000">
      <w:pPr>
        <w:pStyle w:val="Heading2"/>
      </w:pPr>
      <w:r>
        <w:t>6.4 Figure 1 — Delivery time distribution</w:t>
      </w:r>
    </w:p>
    <w:p w14:paraId="4C2C27F7"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lastRenderedPageBreak/>
        <w:t>sns.histplot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actual_shipping_days</w:t>
      </w:r>
      <w:proofErr w:type="spellEnd"/>
      <w:r>
        <w:rPr>
          <w:rFonts w:ascii="Consolas" w:eastAsia="Consolas" w:hAnsi="Consolas" w:cs="Consolas"/>
          <w:sz w:val="18"/>
          <w:szCs w:val="18"/>
        </w:rPr>
        <w:t>"],</w:t>
      </w:r>
    </w:p>
    <w:p w14:paraId="5505FF94"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bins=</w:t>
      </w:r>
      <w:proofErr w:type="gramStart"/>
      <w:r>
        <w:rPr>
          <w:rFonts w:ascii="Consolas" w:eastAsia="Consolas" w:hAnsi="Consolas" w:cs="Consolas"/>
          <w:sz w:val="18"/>
          <w:szCs w:val="18"/>
        </w:rPr>
        <w:t>range(</w:t>
      </w:r>
      <w:proofErr w:type="gramEnd"/>
      <w:r>
        <w:rPr>
          <w:rFonts w:ascii="Consolas" w:eastAsia="Consolas" w:hAnsi="Consolas" w:cs="Consolas"/>
          <w:sz w:val="18"/>
          <w:szCs w:val="18"/>
        </w:rPr>
        <w:t xml:space="preserve">1,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actual_shipping_days</w:t>
      </w:r>
      <w:proofErr w:type="spellEnd"/>
      <w:r>
        <w:rPr>
          <w:rFonts w:ascii="Consolas" w:eastAsia="Consolas" w:hAnsi="Consolas" w:cs="Consolas"/>
          <w:sz w:val="18"/>
          <w:szCs w:val="18"/>
        </w:rPr>
        <w:t>"].</w:t>
      </w:r>
      <w:proofErr w:type="gramStart"/>
      <w:r>
        <w:rPr>
          <w:rFonts w:ascii="Consolas" w:eastAsia="Consolas" w:hAnsi="Consolas" w:cs="Consolas"/>
          <w:sz w:val="18"/>
          <w:szCs w:val="18"/>
        </w:rPr>
        <w:t>max(</w:t>
      </w:r>
      <w:proofErr w:type="gramEnd"/>
      <w:r>
        <w:rPr>
          <w:rFonts w:ascii="Consolas" w:eastAsia="Consolas" w:hAnsi="Consolas" w:cs="Consolas"/>
          <w:sz w:val="18"/>
          <w:szCs w:val="18"/>
        </w:rPr>
        <w:t>) + 2))</w:t>
      </w:r>
    </w:p>
    <w:p w14:paraId="622AAA3A"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t>plt.axvline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actual_shipping_days</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linestyle</w:t>
      </w:r>
      <w:proofErr w:type="spellEnd"/>
      <w:r>
        <w:rPr>
          <w:rFonts w:ascii="Consolas" w:eastAsia="Consolas" w:hAnsi="Consolas" w:cs="Consolas"/>
          <w:sz w:val="18"/>
          <w:szCs w:val="18"/>
        </w:rPr>
        <w:t>="--")</w:t>
      </w:r>
    </w:p>
    <w:p w14:paraId="19D16EA1"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t>plt.axvline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actual_shipping_days</w:t>
      </w:r>
      <w:proofErr w:type="spellEnd"/>
      <w:r>
        <w:rPr>
          <w:rFonts w:ascii="Consolas" w:eastAsia="Consolas" w:hAnsi="Consolas" w:cs="Consolas"/>
          <w:sz w:val="18"/>
          <w:szCs w:val="18"/>
        </w:rPr>
        <w:t>"</w:t>
      </w:r>
      <w:proofErr w:type="gramStart"/>
      <w:r>
        <w:rPr>
          <w:rFonts w:ascii="Consolas" w:eastAsia="Consolas" w:hAnsi="Consolas" w:cs="Consolas"/>
          <w:sz w:val="18"/>
          <w:szCs w:val="18"/>
        </w:rPr>
        <w:t>].median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linestyle</w:t>
      </w:r>
      <w:proofErr w:type="spellEnd"/>
      <w:r>
        <w:rPr>
          <w:rFonts w:ascii="Consolas" w:eastAsia="Consolas" w:hAnsi="Consolas" w:cs="Consolas"/>
          <w:sz w:val="18"/>
          <w:szCs w:val="18"/>
        </w:rPr>
        <w:t>="--")</w:t>
      </w:r>
    </w:p>
    <w:p w14:paraId="128DDE1F" w14:textId="77777777" w:rsidR="00E9742F" w:rsidRDefault="00E9742F">
      <w:pPr>
        <w:spacing w:after="240"/>
      </w:pPr>
    </w:p>
    <w:p w14:paraId="678F179D" w14:textId="77777777" w:rsidR="00E9742F" w:rsidRDefault="00000000">
      <w:pPr>
        <w:pStyle w:val="Heading2"/>
      </w:pPr>
      <w:r>
        <w:t>6.5 Figure 2 — Cost by shipping mode</w:t>
      </w:r>
    </w:p>
    <w:p w14:paraId="7789BF65" w14:textId="77777777" w:rsidR="00E9742F" w:rsidRDefault="00000000">
      <w:pPr>
        <w:shd w:val="clear" w:color="auto" w:fill="F2F2F2"/>
        <w:spacing w:line="250" w:lineRule="auto"/>
        <w:ind w:left="200" w:right="200"/>
      </w:pPr>
      <w:r>
        <w:rPr>
          <w:rFonts w:ascii="Consolas" w:eastAsia="Consolas" w:hAnsi="Consolas" w:cs="Consolas"/>
          <w:sz w:val="18"/>
          <w:szCs w:val="18"/>
        </w:rPr>
        <w:t>order = ["Standard Class", "Second Class", "First Class", "Same Day"]</w:t>
      </w:r>
    </w:p>
    <w:p w14:paraId="7A806BF7"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t>sns.barplot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w:t>
      </w:r>
      <w:proofErr w:type="spellStart"/>
      <w:r>
        <w:rPr>
          <w:rFonts w:ascii="Consolas" w:eastAsia="Consolas" w:hAnsi="Consolas" w:cs="Consolas"/>
          <w:sz w:val="18"/>
          <w:szCs w:val="18"/>
        </w:rPr>
        <w:t>shipping_mode</w:t>
      </w:r>
      <w:proofErr w:type="spellEnd"/>
      <w:r>
        <w:rPr>
          <w:rFonts w:ascii="Consolas" w:eastAsia="Consolas" w:hAnsi="Consolas" w:cs="Consolas"/>
          <w:sz w:val="18"/>
          <w:szCs w:val="18"/>
        </w:rPr>
        <w:t>", y="</w:t>
      </w:r>
      <w:proofErr w:type="spellStart"/>
      <w:r>
        <w:rPr>
          <w:rFonts w:ascii="Consolas" w:eastAsia="Consolas" w:hAnsi="Consolas" w:cs="Consolas"/>
          <w:sz w:val="18"/>
          <w:szCs w:val="18"/>
        </w:rPr>
        <w:t>transportation_cost</w:t>
      </w:r>
      <w:proofErr w:type="spellEnd"/>
      <w:r>
        <w:rPr>
          <w:rFonts w:ascii="Consolas" w:eastAsia="Consolas" w:hAnsi="Consolas" w:cs="Consolas"/>
          <w:sz w:val="18"/>
          <w:szCs w:val="18"/>
        </w:rPr>
        <w:t>",</w:t>
      </w:r>
    </w:p>
    <w:p w14:paraId="2BBAE0B0"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order=order, estimator=</w:t>
      </w:r>
      <w:proofErr w:type="spellStart"/>
      <w:proofErr w:type="gramStart"/>
      <w:r>
        <w:rPr>
          <w:rFonts w:ascii="Consolas" w:eastAsia="Consolas" w:hAnsi="Consolas" w:cs="Consolas"/>
          <w:sz w:val="18"/>
          <w:szCs w:val="18"/>
        </w:rPr>
        <w:t>np.mean</w:t>
      </w:r>
      <w:proofErr w:type="spellEnd"/>
      <w:proofErr w:type="gramEnd"/>
      <w:r>
        <w:rPr>
          <w:rFonts w:ascii="Consolas" w:eastAsia="Consolas" w:hAnsi="Consolas" w:cs="Consolas"/>
          <w:sz w:val="18"/>
          <w:szCs w:val="18"/>
        </w:rPr>
        <w:t>)</w:t>
      </w:r>
    </w:p>
    <w:p w14:paraId="3B4A8074" w14:textId="77777777" w:rsidR="00E9742F" w:rsidRDefault="00E9742F">
      <w:pPr>
        <w:spacing w:after="240"/>
      </w:pPr>
    </w:p>
    <w:p w14:paraId="342EA4AE" w14:textId="77777777" w:rsidR="00E9742F" w:rsidRDefault="00000000">
      <w:pPr>
        <w:pStyle w:val="Heading2"/>
      </w:pPr>
      <w:r>
        <w:t>6.6 Figure 3 — Correlation heatmap</w:t>
      </w:r>
    </w:p>
    <w:p w14:paraId="7C706613"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t>sns.heatmap</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corr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annot</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 xml:space="preserve">=".2f",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w:t>
      </w:r>
      <w:proofErr w:type="spellStart"/>
      <w:r>
        <w:rPr>
          <w:rFonts w:ascii="Consolas" w:eastAsia="Consolas" w:hAnsi="Consolas" w:cs="Consolas"/>
          <w:sz w:val="18"/>
          <w:szCs w:val="18"/>
        </w:rPr>
        <w:t>vlag</w:t>
      </w:r>
      <w:proofErr w:type="spellEnd"/>
      <w:r>
        <w:rPr>
          <w:rFonts w:ascii="Consolas" w:eastAsia="Consolas" w:hAnsi="Consolas" w:cs="Consolas"/>
          <w:sz w:val="18"/>
          <w:szCs w:val="18"/>
        </w:rPr>
        <w:t>",</w:t>
      </w:r>
    </w:p>
    <w:p w14:paraId="7F08CFF3"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=0, square=True)</w:t>
      </w:r>
    </w:p>
    <w:p w14:paraId="101E9098" w14:textId="77777777" w:rsidR="00E9742F" w:rsidRDefault="00E9742F">
      <w:pPr>
        <w:spacing w:after="240"/>
      </w:pPr>
    </w:p>
    <w:p w14:paraId="7F9DDFAC" w14:textId="77777777" w:rsidR="00E9742F" w:rsidRDefault="00000000">
      <w:pPr>
        <w:pStyle w:val="Heading2"/>
      </w:pPr>
      <w:r>
        <w:t>6.7 Figure 4 — Cost vs. delivery time</w:t>
      </w:r>
    </w:p>
    <w:p w14:paraId="669ABC1F"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t>sns.scatterplot</w:t>
      </w:r>
      <w:proofErr w:type="spellEnd"/>
      <w:proofErr w:type="gramEnd"/>
      <w:r>
        <w:rPr>
          <w:rFonts w:ascii="Consolas" w:eastAsia="Consolas" w:hAnsi="Consolas" w:cs="Consolas"/>
          <w:sz w:val="18"/>
          <w:szCs w:val="18"/>
        </w:rPr>
        <w:t>(x=</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actual_shipping_days</w:t>
      </w:r>
      <w:proofErr w:type="spellEnd"/>
      <w:r>
        <w:rPr>
          <w:rFonts w:ascii="Consolas" w:eastAsia="Consolas" w:hAnsi="Consolas" w:cs="Consolas"/>
          <w:sz w:val="18"/>
          <w:szCs w:val="18"/>
        </w:rPr>
        <w:t>"],</w:t>
      </w:r>
    </w:p>
    <w:p w14:paraId="592FEE2A"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y=</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transportation_cost</w:t>
      </w:r>
      <w:proofErr w:type="spellEnd"/>
      <w:r>
        <w:rPr>
          <w:rFonts w:ascii="Consolas" w:eastAsia="Consolas" w:hAnsi="Consolas" w:cs="Consolas"/>
          <w:sz w:val="18"/>
          <w:szCs w:val="18"/>
        </w:rPr>
        <w:t>"],</w:t>
      </w:r>
    </w:p>
    <w:p w14:paraId="1ED0B998"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hue=</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shipping_mode</w:t>
      </w:r>
      <w:proofErr w:type="spellEnd"/>
      <w:r>
        <w:rPr>
          <w:rFonts w:ascii="Consolas" w:eastAsia="Consolas" w:hAnsi="Consolas" w:cs="Consolas"/>
          <w:sz w:val="18"/>
          <w:szCs w:val="18"/>
        </w:rPr>
        <w:t>"], alpha=0.5)</w:t>
      </w:r>
    </w:p>
    <w:p w14:paraId="486CCB1E" w14:textId="77777777" w:rsidR="00E9742F" w:rsidRDefault="00E9742F">
      <w:pPr>
        <w:spacing w:after="240"/>
      </w:pPr>
    </w:p>
    <w:p w14:paraId="10B92201" w14:textId="77777777" w:rsidR="00E9742F" w:rsidRDefault="00000000">
      <w:pPr>
        <w:pStyle w:val="Heading2"/>
      </w:pPr>
      <w:r>
        <w:t>6.8 Figure 5 — Late-delivery rate by market</w:t>
      </w:r>
    </w:p>
    <w:p w14:paraId="295A4D9E" w14:textId="77777777" w:rsidR="00E9742F" w:rsidRDefault="00000000">
      <w:pPr>
        <w:shd w:val="clear" w:color="auto" w:fill="F2F2F2"/>
        <w:spacing w:line="250" w:lineRule="auto"/>
        <w:ind w:left="200" w:right="200"/>
      </w:pPr>
      <w:proofErr w:type="spellStart"/>
      <w:proofErr w:type="gramStart"/>
      <w:r>
        <w:rPr>
          <w:rFonts w:ascii="Consolas" w:eastAsia="Consolas" w:hAnsi="Consolas" w:cs="Consolas"/>
          <w:sz w:val="18"/>
          <w:szCs w:val="18"/>
        </w:rPr>
        <w:t>sns.barplot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by_</w:t>
      </w:r>
      <w:proofErr w:type="gramStart"/>
      <w:r>
        <w:rPr>
          <w:rFonts w:ascii="Consolas" w:eastAsia="Consolas" w:hAnsi="Consolas" w:cs="Consolas"/>
          <w:sz w:val="18"/>
          <w:szCs w:val="18"/>
        </w:rPr>
        <w:t>market.reset</w:t>
      </w:r>
      <w:proofErr w:type="gramEnd"/>
      <w:r>
        <w:rPr>
          <w:rFonts w:ascii="Consolas" w:eastAsia="Consolas" w:hAnsi="Consolas" w:cs="Consolas"/>
          <w:sz w:val="18"/>
          <w:szCs w:val="18"/>
        </w:rPr>
        <w:t>_</w:t>
      </w:r>
      <w:proofErr w:type="gramStart"/>
      <w:r>
        <w:rPr>
          <w:rFonts w:ascii="Consolas" w:eastAsia="Consolas" w:hAnsi="Consolas" w:cs="Consolas"/>
          <w:sz w:val="18"/>
          <w:szCs w:val="18"/>
        </w:rPr>
        <w:t>index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860644B" w14:textId="77777777" w:rsidR="00E9742F" w:rsidRDefault="00000000">
      <w:pPr>
        <w:shd w:val="clear" w:color="auto" w:fill="F2F2F2"/>
        <w:spacing w:line="250" w:lineRule="auto"/>
        <w:ind w:left="200" w:right="200"/>
      </w:pPr>
      <w:r>
        <w:rPr>
          <w:rFonts w:ascii="Consolas" w:eastAsia="Consolas" w:hAnsi="Consolas" w:cs="Consolas"/>
          <w:sz w:val="18"/>
          <w:szCs w:val="18"/>
        </w:rPr>
        <w:t xml:space="preserve">            x="market", y="</w:t>
      </w:r>
      <w:proofErr w:type="spellStart"/>
      <w:r>
        <w:rPr>
          <w:rFonts w:ascii="Consolas" w:eastAsia="Consolas" w:hAnsi="Consolas" w:cs="Consolas"/>
          <w:sz w:val="18"/>
          <w:szCs w:val="18"/>
        </w:rPr>
        <w:t>late_rate_pct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="#C00000")</w:t>
      </w:r>
    </w:p>
    <w:p w14:paraId="74F44611" w14:textId="77777777" w:rsidR="00E9742F" w:rsidRDefault="00E9742F">
      <w:pPr>
        <w:spacing w:after="240"/>
      </w:pPr>
    </w:p>
    <w:p w14:paraId="5A30FC8D" w14:textId="77777777" w:rsidR="00E9742F" w:rsidRDefault="00000000">
      <w:pPr>
        <w:pStyle w:val="Heading1"/>
      </w:pPr>
      <w:r>
        <w:t>7. Conclusion</w:t>
      </w:r>
    </w:p>
    <w:p w14:paraId="24558929" w14:textId="77777777" w:rsidR="00E9742F" w:rsidRDefault="00000000">
      <w:pPr>
        <w:spacing w:after="200" w:line="300" w:lineRule="auto"/>
      </w:pPr>
      <w:r>
        <w:t xml:space="preserve">This task took the cleaned Week 2 dataset through a complete exploratory analysis. Five numeric variables were summarized, a </w:t>
      </w:r>
      <w:proofErr w:type="spellStart"/>
      <w:r>
        <w:t>transportation_cost</w:t>
      </w:r>
      <w:proofErr w:type="spellEnd"/>
      <w:r>
        <w:t xml:space="preserve"> variable was simulated to complete the set requested in the brief, and five visualizations were used to examine distributions, category differences, and relationships between variables. Two findings are especially relevant for the next stage: premium shipping tiers do not reliably deliver faster in this sample, and shipment volume appears to be the main driver of transportation cost. Both can be carried forward as candidates for the predictive modelling planned in Week 4.</w:t>
      </w:r>
    </w:p>
    <w:p w14:paraId="007BBEDE" w14:textId="77777777" w:rsidR="00E9742F" w:rsidRDefault="00000000">
      <w:pPr>
        <w:pStyle w:val="Heading1"/>
      </w:pPr>
      <w:r>
        <w:t>8. References</w:t>
      </w:r>
    </w:p>
    <w:p w14:paraId="2655FD60" w14:textId="77777777" w:rsidR="00E9742F" w:rsidRDefault="00000000">
      <w:pPr>
        <w:spacing w:after="200" w:line="300" w:lineRule="auto"/>
      </w:pPr>
      <w:proofErr w:type="spellStart"/>
      <w:r>
        <w:t>DataCo</w:t>
      </w:r>
      <w:proofErr w:type="spellEnd"/>
      <w:r>
        <w:t xml:space="preserve"> Global. (2019). </w:t>
      </w:r>
      <w:proofErr w:type="spellStart"/>
      <w:r>
        <w:t>DataCo</w:t>
      </w:r>
      <w:proofErr w:type="spellEnd"/>
      <w:r>
        <w:t xml:space="preserve"> Smart Supply Chain for Big Data Analysis [Data set]. Kaggle. https://www.kaggle.com/datasets/shashwatwork/dataco-smart-supply-chain-for-big-data-analysis</w:t>
      </w:r>
    </w:p>
    <w:p w14:paraId="4BE62497" w14:textId="77777777" w:rsidR="00E9742F" w:rsidRDefault="00000000">
      <w:pPr>
        <w:spacing w:after="200" w:line="300" w:lineRule="auto"/>
      </w:pPr>
      <w:r>
        <w:t>Hunter, J. D. (2007). Matplotlib: A 2D graphics environment. Computing in Science &amp; Engineering, 9(3), 90–95. https://matplotlib.org/</w:t>
      </w:r>
    </w:p>
    <w:p w14:paraId="57169C98" w14:textId="77777777" w:rsidR="00E9742F" w:rsidRDefault="00000000">
      <w:pPr>
        <w:spacing w:after="200" w:line="300" w:lineRule="auto"/>
      </w:pPr>
      <w:proofErr w:type="gramStart"/>
      <w:r>
        <w:t>pandas</w:t>
      </w:r>
      <w:proofErr w:type="gramEnd"/>
      <w:r>
        <w:t xml:space="preserve"> development team. </w:t>
      </w:r>
      <w:proofErr w:type="gramStart"/>
      <w:r>
        <w:t>pandas</w:t>
      </w:r>
      <w:proofErr w:type="gramEnd"/>
      <w:r>
        <w:t xml:space="preserve"> documentation. https://pandas.pydata.org/docs/</w:t>
      </w:r>
    </w:p>
    <w:p w14:paraId="19824C63" w14:textId="77777777" w:rsidR="00E9742F" w:rsidRDefault="00000000">
      <w:pPr>
        <w:spacing w:after="200" w:line="300" w:lineRule="auto"/>
      </w:pPr>
      <w:r>
        <w:lastRenderedPageBreak/>
        <w:t xml:space="preserve">Waskom, M. (2021). seaborn: statistical data visualization. Journal of </w:t>
      </w:r>
      <w:proofErr w:type="gramStart"/>
      <w:r>
        <w:t>Open Source</w:t>
      </w:r>
      <w:proofErr w:type="gramEnd"/>
      <w:r>
        <w:t xml:space="preserve"> Software. https://seaborn.pydata.org/</w:t>
      </w:r>
    </w:p>
    <w:sectPr w:rsidR="00E9742F">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5ED4A" w14:textId="77777777" w:rsidR="00122D13" w:rsidRDefault="00122D13">
      <w:r>
        <w:separator/>
      </w:r>
    </w:p>
  </w:endnote>
  <w:endnote w:type="continuationSeparator" w:id="0">
    <w:p w14:paraId="0F02C982" w14:textId="77777777" w:rsidR="00122D13" w:rsidRDefault="00122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41B7" w14:textId="77777777" w:rsidR="00E9742F" w:rsidRDefault="00000000">
    <w:pPr>
      <w:jc w:val="center"/>
    </w:pPr>
    <w:r>
      <w:fldChar w:fldCharType="begin"/>
    </w:r>
    <w:r>
      <w:instrText>PAGE</w:instrText>
    </w:r>
    <w:r>
      <w:fldChar w:fldCharType="separate"/>
    </w:r>
    <w:r w:rsidR="00542826">
      <w:rPr>
        <w:noProof/>
      </w:rPr>
      <w:t>1</w:t>
    </w:r>
    <w:r>
      <w:fldChar w:fldCharType="end"/>
    </w:r>
    <w:r>
      <w:t xml:space="preserve"> / </w:t>
    </w:r>
    <w:r>
      <w:fldChar w:fldCharType="begin"/>
    </w:r>
    <w:r>
      <w:instrText>NUMPAGES</w:instrText>
    </w:r>
    <w:r>
      <w:fldChar w:fldCharType="separate"/>
    </w:r>
    <w:r w:rsidR="0054282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6E669" w14:textId="77777777" w:rsidR="00122D13" w:rsidRDefault="00122D13">
      <w:r>
        <w:separator/>
      </w:r>
    </w:p>
  </w:footnote>
  <w:footnote w:type="continuationSeparator" w:id="0">
    <w:p w14:paraId="3574FF9F" w14:textId="77777777" w:rsidR="00122D13" w:rsidRDefault="00122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083"/>
    <w:multiLevelType w:val="hybridMultilevel"/>
    <w:tmpl w:val="02502C52"/>
    <w:lvl w:ilvl="0" w:tplc="BC800DAE">
      <w:start w:val="1"/>
      <w:numFmt w:val="bullet"/>
      <w:lvlText w:val="•"/>
      <w:lvlJc w:val="left"/>
      <w:pPr>
        <w:ind w:left="720" w:hanging="360"/>
      </w:pPr>
    </w:lvl>
    <w:lvl w:ilvl="1" w:tplc="123E48AE">
      <w:numFmt w:val="decimal"/>
      <w:lvlText w:val=""/>
      <w:lvlJc w:val="left"/>
    </w:lvl>
    <w:lvl w:ilvl="2" w:tplc="ADB6D594">
      <w:numFmt w:val="decimal"/>
      <w:lvlText w:val=""/>
      <w:lvlJc w:val="left"/>
    </w:lvl>
    <w:lvl w:ilvl="3" w:tplc="45CAA812">
      <w:numFmt w:val="decimal"/>
      <w:lvlText w:val=""/>
      <w:lvlJc w:val="left"/>
    </w:lvl>
    <w:lvl w:ilvl="4" w:tplc="3CC8409C">
      <w:numFmt w:val="decimal"/>
      <w:lvlText w:val=""/>
      <w:lvlJc w:val="left"/>
    </w:lvl>
    <w:lvl w:ilvl="5" w:tplc="060A178C">
      <w:numFmt w:val="decimal"/>
      <w:lvlText w:val=""/>
      <w:lvlJc w:val="left"/>
    </w:lvl>
    <w:lvl w:ilvl="6" w:tplc="DC8EB650">
      <w:numFmt w:val="decimal"/>
      <w:lvlText w:val=""/>
      <w:lvlJc w:val="left"/>
    </w:lvl>
    <w:lvl w:ilvl="7" w:tplc="B0006DB6">
      <w:numFmt w:val="decimal"/>
      <w:lvlText w:val=""/>
      <w:lvlJc w:val="left"/>
    </w:lvl>
    <w:lvl w:ilvl="8" w:tplc="59DCCD7C">
      <w:numFmt w:val="decimal"/>
      <w:lvlText w:val=""/>
      <w:lvlJc w:val="left"/>
    </w:lvl>
  </w:abstractNum>
  <w:abstractNum w:abstractNumId="1" w15:restartNumberingAfterBreak="0">
    <w:nsid w:val="11D00206"/>
    <w:multiLevelType w:val="hybridMultilevel"/>
    <w:tmpl w:val="9340A8AE"/>
    <w:lvl w:ilvl="0" w:tplc="AB1E48CA">
      <w:start w:val="1"/>
      <w:numFmt w:val="bullet"/>
      <w:lvlText w:val="●"/>
      <w:lvlJc w:val="left"/>
      <w:pPr>
        <w:ind w:left="720" w:hanging="360"/>
      </w:pPr>
    </w:lvl>
    <w:lvl w:ilvl="1" w:tplc="BA12C392">
      <w:start w:val="1"/>
      <w:numFmt w:val="bullet"/>
      <w:lvlText w:val="○"/>
      <w:lvlJc w:val="left"/>
      <w:pPr>
        <w:ind w:left="1440" w:hanging="360"/>
      </w:pPr>
    </w:lvl>
    <w:lvl w:ilvl="2" w:tplc="60CE5DD0">
      <w:start w:val="1"/>
      <w:numFmt w:val="bullet"/>
      <w:lvlText w:val="■"/>
      <w:lvlJc w:val="left"/>
      <w:pPr>
        <w:ind w:left="2160" w:hanging="360"/>
      </w:pPr>
    </w:lvl>
    <w:lvl w:ilvl="3" w:tplc="7330529C">
      <w:start w:val="1"/>
      <w:numFmt w:val="bullet"/>
      <w:lvlText w:val="●"/>
      <w:lvlJc w:val="left"/>
      <w:pPr>
        <w:ind w:left="2880" w:hanging="360"/>
      </w:pPr>
    </w:lvl>
    <w:lvl w:ilvl="4" w:tplc="C192A85A">
      <w:start w:val="1"/>
      <w:numFmt w:val="bullet"/>
      <w:lvlText w:val="○"/>
      <w:lvlJc w:val="left"/>
      <w:pPr>
        <w:ind w:left="3600" w:hanging="360"/>
      </w:pPr>
    </w:lvl>
    <w:lvl w:ilvl="5" w:tplc="311090F6">
      <w:start w:val="1"/>
      <w:numFmt w:val="bullet"/>
      <w:lvlText w:val="■"/>
      <w:lvlJc w:val="left"/>
      <w:pPr>
        <w:ind w:left="4320" w:hanging="360"/>
      </w:pPr>
    </w:lvl>
    <w:lvl w:ilvl="6" w:tplc="ADDE9F7A">
      <w:start w:val="1"/>
      <w:numFmt w:val="bullet"/>
      <w:lvlText w:val="●"/>
      <w:lvlJc w:val="left"/>
      <w:pPr>
        <w:ind w:left="5040" w:hanging="360"/>
      </w:pPr>
    </w:lvl>
    <w:lvl w:ilvl="7" w:tplc="AB5A3DC2">
      <w:start w:val="1"/>
      <w:numFmt w:val="bullet"/>
      <w:lvlText w:val="●"/>
      <w:lvlJc w:val="left"/>
      <w:pPr>
        <w:ind w:left="5760" w:hanging="360"/>
      </w:pPr>
    </w:lvl>
    <w:lvl w:ilvl="8" w:tplc="87BA4D92">
      <w:start w:val="1"/>
      <w:numFmt w:val="bullet"/>
      <w:lvlText w:val="●"/>
      <w:lvlJc w:val="left"/>
      <w:pPr>
        <w:ind w:left="6480" w:hanging="360"/>
      </w:pPr>
    </w:lvl>
  </w:abstractNum>
  <w:num w:numId="1" w16cid:durableId="784082312">
    <w:abstractNumId w:val="1"/>
    <w:lvlOverride w:ilvl="0">
      <w:startOverride w:val="1"/>
    </w:lvlOverride>
  </w:num>
  <w:num w:numId="2" w16cid:durableId="1957371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42F"/>
    <w:rsid w:val="00122D13"/>
    <w:rsid w:val="00282D77"/>
    <w:rsid w:val="00542826"/>
    <w:rsid w:val="00E9742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46ED"/>
  <w15:docId w15:val="{D4436141-8C4A-41F5-A64A-218B1D4F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60"/>
      <w:outlineLvl w:val="0"/>
    </w:pPr>
    <w:rPr>
      <w:b/>
      <w:bCs/>
      <w:color w:val="1F4E78"/>
      <w:sz w:val="28"/>
      <w:szCs w:val="28"/>
    </w:rPr>
  </w:style>
  <w:style w:type="paragraph" w:styleId="Heading2">
    <w:name w:val="heading 2"/>
    <w:uiPriority w:val="9"/>
    <w:unhideWhenUsed/>
    <w:qFormat/>
    <w:pPr>
      <w:spacing w:before="260" w:after="12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1906</Words>
  <Characters>10866</Characters>
  <Application>Microsoft Office Word</Application>
  <DocSecurity>0</DocSecurity>
  <Lines>90</Lines>
  <Paragraphs>25</Paragraphs>
  <ScaleCrop>false</ScaleCrop>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Ayushman Singh</cp:lastModifiedBy>
  <cp:revision>2</cp:revision>
  <dcterms:created xsi:type="dcterms:W3CDTF">2026-08-26T04:39:00Z</dcterms:created>
  <dcterms:modified xsi:type="dcterms:W3CDTF">2026-08-26T06:01:00Z</dcterms:modified>
</cp:coreProperties>
</file>