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BỔ SUNG USE CASE TỔNG QUÁT VÀ USE CASE MỞ RỘNG</w:t>
        <w:br/>
        <w:t>HỆ THỐNG FRESHFARM</w:t>
      </w:r>
    </w:p>
    <w:p>
      <w:r>
        <w:t>Tài liệu này được lập dựa trên báo cáo nghiệm thu FreshFarm hiện có và đối chiếu với cấu trúc source của dự án. Nội dung tập trung vào việc bổ sung phần use case tổng quát, ma trận phân quyền và đặc tả các use case mở rộng UC23-UC32 để có thể đưa vào Chương II của bản nộp chính thức.</w:t>
      </w:r>
    </w:p>
    <w:p>
      <w:pPr>
        <w:pStyle w:val="Heading1"/>
      </w:pPr>
      <w:r>
        <w:t>1. Phạm vi bổ sung</w:t>
      </w:r>
    </w:p>
    <w:p>
      <w:r>
        <w:t>FreshFarm không chỉ gồm nhóm chức năng mua hàng cơ bản mà còn có các phân hệ phục vụ xác thực tài khoản, địa chỉ giao hàng, vận chuyển GHN, thanh toán VNPay, thông báo, loyalty, quản lý hàng tươi, kiểm duyệt catalog, đo lường gợi ý và chăm sóc khách hàng. Vì vậy phần phân tích yêu cầu nên bổ sung các use case mở rộng để thể hiện rõ phạm vi nghiệm thu của hệ thống.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Tác nhân/nhóm</w:t>
            </w:r>
          </w:p>
        </w:tc>
        <w:tc>
          <w:tcPr>
            <w:tcW w:type="dxa" w:w="6803"/>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Căn cứ trong dự án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AccountController, CartController, CheckoutController, BffOrdersController, BffProductReviewsController, BffSupportChatController, Views/Account, Views/Checkout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Areas/Seller: ProductController, WarehouseController, OrderController, FinanceController, FreshOpsController, SupportChatController, LoyaltyController</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Areas/Admin: UserController, MerchantController, CatalogModerationController, FinanceController, NotificationController, RiskController, DisputeController, FreshOpsController</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 nền/API</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Identity API, Catalog API, Ordering API, GhnWebhookController, RecommendationEventsController, RecommendationMetricsController, RecommendationMlController</w:t>
            </w:r>
          </w:p>
        </w:tc>
      </w:tr>
    </w:tbl>
    <w:p>
      <w:pPr>
        <w:pStyle w:val="Heading1"/>
      </w:pPr>
      <w:r>
        <w:t>2. Danh sách use case tổng quát</w:t>
      </w:r>
    </w:p>
    <w:p>
      <w:r>
        <w:t>Bảng sau kế thừa UC01-UC22 từ báo cáo cũ và bổ sung UC23-UC32 theo các chức năng mở rộng đã có trong dự án.</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Mã</w:t>
            </w:r>
          </w:p>
        </w:tc>
        <w:tc>
          <w:tcPr>
            <w:tcW w:type="dxa" w:w="5102"/>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Tên use case</w:t>
            </w:r>
          </w:p>
        </w:tc>
        <w:tc>
          <w:tcPr>
            <w:tcW w:type="dxa" w:w="2835"/>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Tác nhân chính</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UC01</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Đăng ký tài khoản người mua</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UC02</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Đăng nhập/đăng xuất theo vai trò</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người bán, 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UC03</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Xem trang chủ</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UC04</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Tìm kiếm và lọc sản phẩm</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UC05</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Xem chi tiết sản phẩm</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UC06</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Nhận gợi ý sản phẩm</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mua/Hệ thống</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UC07</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giỏ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UC08</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Đặt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UC09</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Thanh toán</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mua/Hệ thống</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UC10</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đơn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UC11</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UC12</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 quản lý sản phẩm</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UC13</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 quản lý tồn kho</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UC14</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 xử lý đơn</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UC15</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 xem tài chính</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UC16</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Admin quản lý người dùng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UC17</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Admin quản lý người bán/KYC</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UC18</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Admin quản lý catalog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UC19</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Admin quản lý giảm giá/chiến dịch</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UC20</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Admin quản lý rủi ro</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UC21</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Hỗ trợ khách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người bán, 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UC22</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Ghi nhận hành vi gợi ý</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UC23</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Xác thực email và khôi phục mật khẩu</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UC24</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sổ địa chỉ giao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UC25</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Tính phí vận chuyển GHN và cập nhật trạng thái giao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mua/Hệ thống</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UC26</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Thanh toán VNPay và đối soát giao dịch</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mua/Hệ thống</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UC27</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thông báo và truyền thông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Admin/Hệ thống</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UC28</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tích điểm khách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Admin/Người bán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UC29</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lô hàng tươi và thu hồi chất lượng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UC30</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Kiểm duyệt sản phẩm và chuẩn hóa catalog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UC31</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hiệu quả gợi ý sản phẩm</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thống/Admin</w:t>
            </w:r>
          </w:p>
        </w:tc>
      </w:tr>
      <w:tr>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UC32</w:t>
            </w:r>
          </w:p>
        </w:tc>
        <w:tc>
          <w:tcPr>
            <w:tcW w:type="dxa" w:w="5102"/>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tranh chấp, đổi trả và chăm sóc khách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Admin/Người mua</w:t>
            </w:r>
          </w:p>
        </w:tc>
      </w:tr>
    </w:tbl>
    <w:p>
      <w:pPr>
        <w:pStyle w:val="Heading1"/>
      </w:pPr>
      <w:r>
        <w:t>3. Ma trận phân quyền chức năng</w:t>
      </w:r>
    </w:p>
    <w:p>
      <w:r>
        <w:t>Ký hiệu sử dụng: C là tác nhân thực hiện chính; R là tác nhân có quyền xem/theo dõi hoặc tham gia xử lý; A là tác vụ tự động do hệ thống thực hiện.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535"/>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Nhóm chức năng</w:t>
            </w:r>
          </w:p>
        </w:tc>
        <w:tc>
          <w:tcPr>
            <w:tcW w:type="dxa" w:w="1134"/>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Người mua</w:t>
            </w:r>
          </w:p>
        </w:tc>
        <w:tc>
          <w:tcPr>
            <w:tcW w:type="dxa" w:w="1134"/>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Người bán</w:t>
            </w:r>
          </w:p>
        </w:tc>
        <w:tc>
          <w:tcPr>
            <w:tcW w:type="dxa" w:w="1134"/>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Admin</w:t>
            </w:r>
          </w:p>
        </w:tc>
        <w:tc>
          <w:tcPr>
            <w:tcW w:type="dxa" w:w="1134"/>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Hệ thống</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Xem sản phẩm, tìm kiếm, xem chi tiết</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Giỏ hàng, đặt hàng, theo dõi đơn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Xác thực email, khôi phục mật khẩu</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Sổ địa chỉ giao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GHN, trạng thái vận chuyển</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VNPay, đối soát giao dịch</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sản phẩm, tồn kho, lô hàng tươi</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Kiểm duyệt catalog, chuẩn hóa danh mục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Thông báo, truyền thông, hỗ trợ</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Gợi ý sản phẩm và đo lường hiệu quả</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r>
      <w:tr>
        <w:tc>
          <w:tcPr>
            <w:tcW w:type="dxa" w:w="4535"/>
            <w:vAlign w:val="center"/>
          </w:tcPr>
          <w:p>
            <w:pPr>
              <w:spacing w:after="0"/>
            </w:pPr>
            <w:r>
              <w:rPr>
                <w:rFonts w:ascii="Times New Roman" w:hAnsi="Times New Roman" w:eastAsia="Times New Roman"/>
                <w:sz w:val="20"/>
              </w:rPr>
            </w:r>
            <w:r>
              <w:rPr>
                <w:rFonts w:ascii="Times New Roman" w:hAnsi="Times New Roman" w:eastAsia="Times New Roman"/>
                <w:b w:val="0"/>
                <w:sz w:val="20"/>
              </w:rPr>
              <w:t>Tranh chấp, đổi trả, chăm sóc khách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R</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C</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A</w:t>
            </w:r>
          </w:p>
        </w:tc>
      </w:tr>
    </w:tbl>
    <w:p>
      <w:pPr>
        <w:pStyle w:val="Heading1"/>
      </w:pPr>
      <w:r>
        <w:t>4. Quan hệ include và extend</w:t>
      </w:r>
    </w:p>
    <w:p>
      <w:r>
        <w:t>Trong sơ đồ Mermaid, quan hệ include và extend được ghi bằng nhãn chữ trên đường nét đứt để tránh lỗi ký tự khi render.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51"/>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Use case nguồn</w:t>
            </w:r>
          </w:p>
        </w:tc>
        <w:tc>
          <w:tcPr>
            <w:tcW w:type="dxa" w:w="1134"/>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Quan hệ</w:t>
            </w:r>
          </w:p>
        </w:tc>
        <w:tc>
          <w:tcPr>
            <w:tcW w:type="dxa" w:w="2835"/>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Use case liên quan</w:t>
            </w:r>
          </w:p>
        </w:tc>
        <w:tc>
          <w:tcPr>
            <w:tcW w:type="dxa" w:w="2835"/>
            <w:vAlign w:val="center"/>
            <w:shd w:fill="D9EAD3"/>
          </w:tcPr>
          <w:p>
            <w:pPr>
              <w:spacing w:after="0"/>
            </w:pPr>
            <w:r>
              <w:rPr>
                <w:rFonts w:ascii="Times New Roman" w:hAnsi="Times New Roman" w:eastAsia="Times New Roman"/>
                <w:b/>
                <w:sz w:val="20"/>
              </w:rPr>
            </w:r>
            <w:r>
              <w:rPr>
                <w:rFonts w:ascii="Times New Roman" w:hAnsi="Times New Roman" w:eastAsia="Times New Roman"/>
                <w:b/>
                <w:sz w:val="20"/>
              </w:rPr>
              <w:t>Ý nghĩa</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UC08 Đặt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include</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UC07 Quản lý giỏ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Đơn hàng được tạo từ giỏ hàng hợp lệ.</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UC08 Đặt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include</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UC24 Quản lý sổ địa chỉ giao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Đặt hàng cần địa chỉ nhận hàng.</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UC08 Đặt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include</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UC25 Tính phí vận chuyển GHN</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 cần tính phí và phương án giao hàng.</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UC09 Thanh toán</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extend</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UC26 Thanh toán VNPay và đối soát</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VNPay chỉ xảy ra khi người mua chọn thanh toán trực tuyến.</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UC10 Theo dõi đơn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extend</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UC25 Cập nhật trạng thái giao hàng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giao hàng được cập nhật khi có dữ liệu từ GHN.</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UC06 Nhận gợi ý sản phẩm</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include</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UC22 Ghi nhận hành vi gợi ý</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hành vi là đầu vào của gợi ý.</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UC31 Đo lường hiệu quả gợi ý</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include</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UC22 Ghi nhận hành vi gợi ý</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Hiệu quả gợi ý được đo từ impression, click, add-to-cart và purchase.</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UC21 Hỗ trợ khách hàng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extend</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UC32 Tranh chấp, đổi trả</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Tranh chấp/đổi trả là tình huống phát sinh sau mua.</w:t>
            </w:r>
          </w:p>
        </w:tc>
      </w:tr>
      <w:tr>
        <w:tc>
          <w:tcPr>
            <w:tcW w:type="dxa" w:w="2551"/>
            <w:vAlign w:val="center"/>
          </w:tcPr>
          <w:p>
            <w:pPr>
              <w:spacing w:after="0"/>
            </w:pPr>
            <w:r>
              <w:rPr>
                <w:rFonts w:ascii="Times New Roman" w:hAnsi="Times New Roman" w:eastAsia="Times New Roman"/>
                <w:sz w:val="20"/>
              </w:rPr>
            </w:r>
            <w:r>
              <w:rPr>
                <w:rFonts w:ascii="Times New Roman" w:hAnsi="Times New Roman" w:eastAsia="Times New Roman"/>
                <w:b w:val="0"/>
                <w:sz w:val="20"/>
              </w:rPr>
              <w:t>UC18 Admin quản lý catalog</w:t>
            </w:r>
          </w:p>
        </w:tc>
        <w:tc>
          <w:tcPr>
            <w:tcW w:type="dxa" w:w="1134"/>
            <w:vAlign w:val="center"/>
          </w:tcPr>
          <w:p>
            <w:pPr>
              <w:spacing w:after="0"/>
            </w:pPr>
            <w:r>
              <w:rPr>
                <w:rFonts w:ascii="Times New Roman" w:hAnsi="Times New Roman" w:eastAsia="Times New Roman"/>
                <w:sz w:val="20"/>
              </w:rPr>
            </w:r>
            <w:r>
              <w:rPr>
                <w:rFonts w:ascii="Times New Roman" w:hAnsi="Times New Roman" w:eastAsia="Times New Roman"/>
                <w:b w:val="0"/>
                <w:sz w:val="20"/>
              </w:rPr>
              <w:t>include</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UC30 Kiểm duyệt sản phẩm và chuẩn hóa catalog</w:t>
            </w:r>
          </w:p>
        </w:tc>
        <w:tc>
          <w:tcPr>
            <w:tcW w:type="dxa" w:w="2835"/>
            <w:vAlign w:val="center"/>
          </w:tcPr>
          <w:p>
            <w:pPr>
              <w:spacing w:after="0"/>
            </w:pPr>
            <w:r>
              <w:rPr>
                <w:rFonts w:ascii="Times New Roman" w:hAnsi="Times New Roman" w:eastAsia="Times New Roman"/>
                <w:sz w:val="20"/>
              </w:rPr>
            </w:r>
            <w:r>
              <w:rPr>
                <w:rFonts w:ascii="Times New Roman" w:hAnsi="Times New Roman" w:eastAsia="Times New Roman"/>
                <w:b w:val="0"/>
                <w:sz w:val="20"/>
              </w:rPr>
              <w:t>Catalog cần kiểm duyệt và chuẩn hóa trước khi vận hành ổn định.</w:t>
            </w:r>
          </w:p>
        </w:tc>
      </w:tr>
    </w:tbl>
    <w:p>
      <w:pPr>
        <w:pStyle w:val="Heading1"/>
      </w:pPr>
      <w:r>
        <w:t>5. Mã Mermaid cho sơ đồ use case mở rộng</w:t>
      </w:r>
    </w:p>
    <w:p>
      <w:r>
        <w:t>Có thể dán đoạn mã dưới đây vào công cụ Mermaid. Khi dùng trình render trực tiếp, chỉ dán từ dòng graph LR, không dán kèm dấu ```mermaid.</w:t>
      </w:r>
    </w:p>
    <w:p>
      <w:pPr>
        <w:spacing w:after="120"/>
        <w:ind w:left="283"/>
      </w:pPr>
      <w:r>
        <w:rPr>
          <w:rFonts w:ascii="Consolas" w:hAnsi="Consolas" w:eastAsia="Consolas"/>
          <w:sz w:val="18"/>
        </w:rPr>
        <w:t>graph LR</w:t>
        <w:br/>
        <w:t xml:space="preserve">    Buyer[Người mua]</w:t>
        <w:br/>
        <w:t xml:space="preserve">    Seller[Người bán]</w:t>
        <w:br/>
        <w:t xml:space="preserve">    Admin[Quản trị viên]</w:t>
        <w:br/>
        <w:t xml:space="preserve">    System[Hệ thống nền]</w:t>
        <w:br/>
        <w:t xml:space="preserve">    Webhook[Webhook ngoài / Đơn vị vận chuyển]</w:t>
        <w:br/>
        <w:br/>
        <w:t xml:space="preserve">    subgraph FreshFarm[Hệ thống FreshFarm]</w:t>
        <w:br/>
        <w:t xml:space="preserve">        UC23[Xác thực email và khôi phục mật khẩu]</w:t>
        <w:br/>
        <w:t xml:space="preserve">        UC24[Quản lý sổ địa chỉ giao hàng]</w:t>
        <w:br/>
        <w:t xml:space="preserve">        UC25[Tính phí vận chuyển GHN và cập nhật trạng thái giao hàng]</w:t>
        <w:br/>
        <w:t xml:space="preserve">        UC26[Thanh toán VNPay và đối soát giao dịch]</w:t>
        <w:br/>
        <w:t xml:space="preserve">        UC27[Quản lý thông báo và truyền thông]</w:t>
        <w:br/>
        <w:t xml:space="preserve">        UC28[Quản lý tích điểm khách hàng]</w:t>
        <w:br/>
        <w:t xml:space="preserve">        UC29[Quản lý lô hàng tươi và thu hồi chất lượng]</w:t>
        <w:br/>
        <w:t xml:space="preserve">        UC30[Kiểm duyệt sản phẩm và chuẩn hóa catalog]</w:t>
        <w:br/>
        <w:t xml:space="preserve">        UC31[Đo lường hiệu quả gợi ý sản phẩm]</w:t>
        <w:br/>
        <w:t xml:space="preserve">        UC32[Quản lý tranh chấp, đổi trả và chăm sóc khách hàng]</w:t>
        <w:br/>
        <w:t xml:space="preserve">    end</w:t>
        <w:br/>
        <w:br/>
        <w:t xml:space="preserve">    Buyer --&gt; UC23</w:t>
        <w:br/>
        <w:t xml:space="preserve">    Buyer --&gt; UC24</w:t>
        <w:br/>
        <w:t xml:space="preserve">    Buyer --&gt; UC25</w:t>
        <w:br/>
        <w:t xml:space="preserve">    Buyer --&gt; UC26</w:t>
        <w:br/>
        <w:t xml:space="preserve">    Buyer --&gt; UC32</w:t>
        <w:br/>
        <w:t xml:space="preserve">    Seller --&gt; UC28</w:t>
        <w:br/>
        <w:t xml:space="preserve">    Seller --&gt; UC29</w:t>
        <w:br/>
        <w:t xml:space="preserve">    Admin --&gt; UC27</w:t>
        <w:br/>
        <w:t xml:space="preserve">    Admin --&gt; UC28</w:t>
        <w:br/>
        <w:t xml:space="preserve">    Admin --&gt; UC29</w:t>
        <w:br/>
        <w:t xml:space="preserve">    Admin --&gt; UC30</w:t>
        <w:br/>
        <w:t xml:space="preserve">    Admin --&gt; UC31</w:t>
        <w:br/>
        <w:t xml:space="preserve">    Admin --&gt; UC32</w:t>
        <w:br/>
        <w:t xml:space="preserve">    System --&gt; UC25</w:t>
        <w:br/>
        <w:t xml:space="preserve">    System --&gt; UC26</w:t>
        <w:br/>
        <w:t xml:space="preserve">    System --&gt; UC27</w:t>
        <w:br/>
        <w:t xml:space="preserve">    System --&gt; UC31</w:t>
        <w:br/>
        <w:t xml:space="preserve">    Webhook --&gt; UC25</w:t>
        <w:br/>
        <w:br/>
        <w:t xml:space="preserve">    UC08[Đặt hàng] -. "include" .-&gt; UC24</w:t>
        <w:br/>
        <w:t xml:space="preserve">    UC08 -. "include" .-&gt; UC25</w:t>
        <w:br/>
        <w:t xml:space="preserve">    UC09[Thanh toán] -. "extend" .-&gt; UC26</w:t>
        <w:br/>
        <w:t xml:space="preserve">    UC06[Nhận gợi ý sản phẩm] -. "include" .-&gt; UC31</w:t>
        <w:br/>
        <w:t xml:space="preserve">    UC21[Hỗ trợ khách hàng] -. "extend" .-&gt; UC32</w:t>
      </w:r>
    </w:p>
    <w:p>
      <w:r>
        <w:br w:type="page"/>
      </w:r>
    </w:p>
    <w:p>
      <w:pPr>
        <w:pStyle w:val="Heading1"/>
      </w:pPr>
      <w:r>
        <w:t>6. Đặc tả chi tiết các use case mở rộng</w:t>
      </w:r>
    </w:p>
    <w:p>
      <w:r>
        <w:t>Các đặc tả dưới đây viết ở mức đủ dùng cho báo cáo nghiệm thu: nêu tác nhân, mục tiêu, điều kiện, luồng chính, ngoại lệ và căn cứ trong source. Nếu cần triển khai thành tài liệu SRS đầy đủ, mỗi use case có thể tách thêm biểu đồ tuần tự và tiêu chí kiểm thử riêng.</w:t>
      </w:r>
    </w:p>
    <w:p>
      <w:pPr>
        <w:pStyle w:val="Heading2"/>
      </w:pPr>
      <w:r>
        <w:t>UC23. Xác thực email và khôi phục mật khẩu</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Bảo đảm tài khoản được xác nhận hợp lệ và hỗ trợ người dùng lấy lại quyền truy cập khi quên mật khẩu.</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dùng có email hợp lệ và truy cập được trang đăng ký/đăng nhập của FreshFarm.</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dùng đăng ký hoặc chọn quên mật khẩu; hệ thống gửi email xác thực hoặc liên kết đặt lại mật khẩu; người dùng mở liên kết; hệ thống kiểm tra mã xác nhận; người dùng đặt mật khẩu mới hoặc hoàn tất xác thực tài khoản.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mã xác nhận hết hạn hoặc không hợp lệ, hệ thống thông báo lỗi và yêu cầu gửi lại email xác thực/khôi phục.</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Tài khoản được xác thực hoặc mật khẩu mới được cập nhật; người dùng có thể đăng nhập lại.</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AccountController, AuthController, ForgotPassword.cshtml, SignUp.cshtml và các luồng Identity API.</w:t>
            </w:r>
          </w:p>
        </w:tc>
      </w:tr>
    </w:tbl>
    <w:p/>
    <w:p>
      <w:pPr>
        <w:pStyle w:val="Heading2"/>
      </w:pPr>
      <w:r>
        <w:t>UC24. Quản lý sổ địa chỉ giao hàng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Cho phép người mua lưu nhiều địa chỉ giao hàng để dùng nhanh khi thanh toán.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đã đăng nhập vào tài khoản.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vào trang hồ sơ; thêm địa chỉ mới hoặc chỉnh sửa địa chỉ đã lưu; chọn địa chỉ mặc định; khi thanh toán, hệ thống hiển thị danh sách địa chỉ để người mua chọn cho đơn hàng.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địa chỉ thiếu tỉnh/huyện/xã hoặc thông tin liên hệ không hợp lệ, hệ thống yêu cầu bổ sung trước khi lưu hoặc đặt hàng.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Sổ địa chỉ được cập nhật; địa chỉ được chọn có thể dùng cho tính phí vận chuyển và tạo đơn.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AccountController, Profile.cshtml, CheckoutController, Checkout/Index.cshtml và mô hình AddressBook trong Identity.</w:t>
            </w:r>
          </w:p>
        </w:tc>
      </w:tr>
    </w:tbl>
    <w:p/>
    <w:p>
      <w:pPr>
        <w:pStyle w:val="Heading2"/>
      </w:pPr>
      <w:r>
        <w:t>UC25. Tính phí vận chuyển GHN và cập nhật trạng thái giao hàng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mua/Hệ thống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Tính phí giao hàng theo địa chỉ nhận và tự động cập nhật tiến trình vận chuyển.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Giỏ hàng có sản phẩm hợp lệ; địa chỉ giao hàng đã được chọn; cấu hình GHN khả dụng.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chọn địa chỉ; hệ thống tính phí giao hàng qua GHN; sau khi đơn được tạo, hệ thống lưu thông tin vận chuyển; khi GHN gửi webhook/trạng thái mới, hệ thống cập nhật trạng thái giao hàng cho đơn.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GHN không phản hồi hoặc địa chỉ chưa đủ dữ liệu, hệ thống hiển thị cảnh báo và dùng phương án xử lý dự phòng theo cấu hình.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Đơn hàng có phí vận chuyển và trạng thái giao hàng được cập nhật theo dữ liệu nhận được.</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GhnWebhookController, Checkout/Index.cshtml, ShippingController và các cấu hình GHN trong khu vực admin/seller.</w:t>
            </w:r>
          </w:p>
        </w:tc>
      </w:tr>
    </w:tbl>
    <w:p/>
    <w:p>
      <w:pPr>
        <w:pStyle w:val="Heading2"/>
      </w:pPr>
      <w:r>
        <w:t>UC26. Thanh toán VNPay và đối soát giao dịch</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mua/Hệ thống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Hỗ trợ thanh toán trực tuyến và ghi nhận kết quả giao dịch để đối soát.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Đơn hàng đã được tạo hoặc đang ở bước thanh toán; cấu hình VNPay được bật.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chọn thanh toán VNPay; hệ thống tạo yêu cầu thanh toán; người mua hoàn tất giao dịch trên cổng thanh toán; hệ thống nhận kết quả trả về; trạng thái thanh toán và đơn hàng được cập nhật; dữ liệu giao dịch được lưu phục vụ đối soát.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giao dịch bị hủy, thất bại hoặc sai chữ ký, hệ thống không xác nhận thanh toán và giữ trạng thái phù hợp để người mua xử lý lại.</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Giao dịch hợp lệ được ghi nhận; dữ liệu thanh toán có thể dùng cho báo cáo tài chính và đối soát.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Checkout/Index.cshtml, OrdersController, FinanceController và các cấu hình VNPay trong Ordering API.</w:t>
            </w:r>
          </w:p>
        </w:tc>
      </w:tr>
    </w:tbl>
    <w:p/>
    <w:p>
      <w:pPr>
        <w:pStyle w:val="Heading2"/>
      </w:pPr>
      <w:r>
        <w:t>UC27. Quản lý thông báo và truyền thông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Admin/Hệ thống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Quản lý nội dung thông báo, truyền thông và tự động gửi thông tin cần thiết đến người dùng.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 đã đăng nhập hoặc hệ thống phát sinh sự kiện cần thông báo.</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 tạo hoặc quản lý thông báo; hệ thống xác định nhóm nhận; thông báo được gửi đến tài khoản phù hợp; người dùng xem thông báo trong khu vực tài khoản hoặc nhận cập nhật theo kênh cấu hình.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người nhận không còn hoạt động hoặc dữ liệu thông báo thiếu nội dung, hệ thống bỏ qua hoặc yêu cầu admin chỉnh sửa.</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Thông báo được lưu và hiển thị đúng nhóm người nhận.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NotificationController, CommunicationController, NotificationsAdminController, NotificationsController và Account/Notifications.cshtml.</w:t>
            </w:r>
          </w:p>
        </w:tc>
      </w:tr>
    </w:tbl>
    <w:p/>
    <w:p>
      <w:pPr>
        <w:pStyle w:val="Heading2"/>
      </w:pPr>
      <w:r>
        <w:t>UC28. Quản lý tích điểm khách hàng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Admin/Người bán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điểm thưởng/khách hàng thân thiết để hỗ trợ chăm sóc và khuyến khích mua lại.</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Có giao dịch hoặc chính sách tích điểm được cấu hình.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 ghi nhận điểm sau giao dịch hợp lệ; admin theo dõi và điều chỉnh chính sách; người bán/admin xem dữ liệu khách hàng thân thiết để phục vụ chăm sóc, khuyến mãi hoặc báo cáo.</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đơn bị hủy/hoàn, điểm có thể bị thu hồi hoặc không được cộng theo chính sách.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Điểm khách hàng được cập nhật và có thể dùng trong các báo cáo hoặc chương trình loyalty.</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LoyaltyController trong Admin/Seller và LoyaltyAdminController trong Ordering API.</w:t>
            </w:r>
          </w:p>
        </w:tc>
      </w:tr>
    </w:tbl>
    <w:p/>
    <w:p>
      <w:pPr>
        <w:pStyle w:val="Heading2"/>
      </w:pPr>
      <w:r>
        <w:t>UC29. Quản lý lô hàng tươi và thu hồi chất lượng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bán/Admin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đặc thù hàng tươi, hạn dùng, chất lượng và hỗ trợ thu hồi khi phát hiện rủi ro.</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 có sản phẩm/lô hàng cần quản lý; admin có quyền giám sát vận hành.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bán cập nhật thông tin lô hàng, tồn kho, thời hạn và trạng thái chất lượng; admin theo dõi dữ liệu FreshOps; khi phát hiện vấn đề, hệ thống ghi nhận cảnh báo/thu hồi để hỗ trợ xử lý vận hành.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thông tin lô hàng thiếu hoặc sản phẩm đã ngừng bán, hệ thống yêu cầu cập nhật trước khi tiếp tục xử lý.</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Lô hàng được quản lý rõ ràng; các trường hợp cần thu hồi/chú ý chất lượng được ghi nhận.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FreshOpsController trong Admin/Seller, WarehouseController, FreshGoodsAdminController và FreshGoodsSellerController.</w:t>
            </w:r>
          </w:p>
        </w:tc>
      </w:tr>
    </w:tbl>
    <w:p/>
    <w:p>
      <w:pPr>
        <w:pStyle w:val="Heading2"/>
      </w:pPr>
      <w:r>
        <w:t>UC30. Kiểm duyệt sản phẩm và chuẩn hóa catalog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Bảo đảm dữ liệu sản phẩm, danh mục, đơn vị và trạng thái hiển thị nhất quán trước khi đưa vào vận hành.</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Có sản phẩm/danh mục/đơn vị do người bán tạo hoặc cần cập nhật.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 mở khu vực kiểm duyệt; xem thông tin sản phẩm, hình ảnh, danh mục, đơn vị; duyệt sản phẩm đạt yêu cầu hoặc yêu cầu chỉnh sửa; dữ liệu catalog được chuẩn hóa để phục vụ tìm kiếm, hiển thị và đặt hàng.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nội dung thiếu, sai danh mục hoặc vi phạm quy định, admin từ chối hoặc chuyển trạng thái cần bổ sung.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Sản phẩm/danh mục được duyệt hoặc được ghi nhận lý do chưa đạt.</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CatalogModerationController, CatalogReadinessController, CategoryController, UnitController, ProductController và Catalog API.</w:t>
            </w:r>
          </w:p>
        </w:tc>
      </w:tr>
    </w:tbl>
    <w:p/>
    <w:p>
      <w:pPr>
        <w:pStyle w:val="Heading2"/>
      </w:pPr>
      <w:r>
        <w:t>UC31. Đo lường hiệu quả gợi ý sản phẩm</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thống/Admin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mức độ hiệu quả của các gợi ý sản phẩm dựa trên hành vi thực tế của người dùng.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Các sự kiện xem, tìm kiếm, hiển thị gợi ý, click, thêm giỏ hoặc mua hàng được ghi nhận.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Hệ thống thu thập sự kiện recommendation; dữ liệu được gửi về Ordering API; tiến trình nền tổng hợp hoặc làm mới dữ liệu gợi ý; admin xem số liệu để đánh giá hiệu quả và định hướng cải tiến.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sự kiện thiếu định danh người dùng/sản phẩm, hệ thống vẫn có thể ghi nhận ở mức phiên hoặc bỏ qua tùy loại sự kiện.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đo lường được lưu, dùng cho báo cáo và cải tiến thuật toán gợi ý.</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BffRecommendationEventsController, RecommendationEventsController, RecommendationMetricsController, RecommendationMlController và RecommendationAffinityRefreshBackgroundService.</w:t>
            </w:r>
          </w:p>
        </w:tc>
      </w:tr>
    </w:tbl>
    <w:p/>
    <w:p>
      <w:pPr>
        <w:pStyle w:val="Heading2"/>
      </w:pPr>
      <w:r>
        <w:t>UC32. Quản lý tranh chấp, đổi trả và chăm sóc khách hàng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Mục</w:t>
            </w:r>
          </w:p>
        </w:tc>
        <w:tc>
          <w:tcPr>
            <w:tcW w:type="dxa" w:w="6803"/>
            <w:vAlign w:val="center"/>
            <w:shd w:fill="E2F0D9"/>
          </w:tcPr>
          <w:p>
            <w:pPr>
              <w:spacing w:after="0"/>
            </w:pPr>
            <w:r>
              <w:rPr>
                <w:rFonts w:ascii="Times New Roman" w:hAnsi="Times New Roman" w:eastAsia="Times New Roman"/>
                <w:b/>
                <w:sz w:val="20"/>
              </w:rPr>
            </w:r>
            <w:r>
              <w:rPr>
                <w:rFonts w:ascii="Times New Roman" w:hAnsi="Times New Roman" w:eastAsia="Times New Roman"/>
                <w:b/>
                <w:sz w:val="20"/>
              </w:rPr>
              <w:t>Nội dung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Tác nhân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Admin/Người mua</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Hỗ trợ xử lý vấn đề sau mua như khiếu nại, đổi trả, phản hồi và chăm sóc khách hàng.</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Tiền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có đơn hàng hoặc phát sinh yêu cầu hỗ trợ; admin có quyền xử lý.</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xử lý chính</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Người mua gửi yêu cầu hỗ trợ hoặc khiếu nại; hệ thống lưu nội dung và lịch sử trao đổi; admin tiếp nhận, phân loại, trao đổi với người mua/người bán và cập nhật kết quả xử lý.</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thay thế/ngoại lệ</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Nếu yêu cầu thiếu mã đơn hoặc bằng chứng cần thiết, admin yêu cầu bổ sung trước khi kết luận.</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Hậu điều kiện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Yêu cầu được ghi nhận và có trạng thái xử lý rõ ràng; lịch sử hỗ trợ được lưu để tra cứu.</w:t>
            </w:r>
          </w:p>
        </w:tc>
      </w:tr>
      <w:tr>
        <w:tc>
          <w:tcPr>
            <w:tcW w:type="dxa" w:w="2268"/>
            <w:vAlign w:val="center"/>
          </w:tcPr>
          <w:p>
            <w:pPr>
              <w:spacing w:after="0"/>
            </w:pPr>
            <w:r>
              <w:rPr>
                <w:rFonts w:ascii="Times New Roman" w:hAnsi="Times New Roman" w:eastAsia="Times New Roman"/>
                <w:sz w:val="20"/>
              </w:rPr>
            </w:r>
            <w:r>
              <w:rPr>
                <w:rFonts w:ascii="Times New Roman" w:hAnsi="Times New Roman" w:eastAsia="Times New Roman"/>
                <w:b w:val="0"/>
                <w:sz w:val="20"/>
              </w:rPr>
              <w:t>Căn cứ trong dự án</w:t>
            </w:r>
          </w:p>
        </w:tc>
        <w:tc>
          <w:tcPr>
            <w:tcW w:type="dxa" w:w="6803"/>
            <w:vAlign w:val="center"/>
          </w:tcPr>
          <w:p>
            <w:pPr>
              <w:spacing w:after="0"/>
            </w:pPr>
            <w:r>
              <w:rPr>
                <w:rFonts w:ascii="Times New Roman" w:hAnsi="Times New Roman" w:eastAsia="Times New Roman"/>
                <w:sz w:val="20"/>
              </w:rPr>
            </w:r>
            <w:r>
              <w:rPr>
                <w:rFonts w:ascii="Times New Roman" w:hAnsi="Times New Roman" w:eastAsia="Times New Roman"/>
                <w:b w:val="0"/>
                <w:sz w:val="20"/>
              </w:rPr>
              <w:t>DisputeController, SupportChatController, SupportChatAdminController, SupportChatBuyerController, FeedbackController và ReviewController.</w:t>
            </w:r>
          </w:p>
        </w:tc>
      </w:tr>
    </w:tbl>
    <w:p/>
    <w:p>
      <w:pPr>
        <w:pStyle w:val="Heading1"/>
      </w:pPr>
      <w:r>
        <w:t>7. Gợi ý vị trí đưa vào báo cáo</w:t>
      </w:r>
    </w:p>
    <w:p>
      <w:r>
        <w:t>Phần này nên đặt sau mục 2.6 của báo cáo cũ hoặc đổi thành mục 2.7 "Use case tổng quát và bảng phân quyền chức năng mở rộng". Nếu báo cáo đã có UC01-UC22, có thể chỉ đưa bảng UC23-UC32 và các đặc tả mở rộng để tránh lặp lại nội dung cũ.</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mở rộng FreshFarm</dc:title>
  <dc:subject>Bổ sung use case tổng quát, ma trận phân quyền và đặc tả UC23-UC32</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