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Calibri" w:hAnsi="Calibri"/>
          <w:b/>
          <w:i w:val="0"/>
          <w:color w:val="1F4E78"/>
          <w:sz w:val="46"/>
        </w:rPr>
        <w:t>US Single-Stock Analysis Program</w:t>
      </w:r>
    </w:p>
    <w:p>
      <w:pPr>
        <w:jc w:val="center"/>
      </w:pPr>
      <w:r>
        <w:rPr>
          <w:rFonts w:ascii="Calibri" w:hAnsi="Calibri"/>
          <w:b w:val="0"/>
          <w:i/>
          <w:color w:val="555555"/>
          <w:sz w:val="26"/>
        </w:rPr>
        <w:t>Complete architecture, methodology and mathematical specification</w:t>
      </w:r>
    </w:p>
    <w:p>
      <w:pPr>
        <w:spacing w:before="360"/>
        <w:jc w:val="center"/>
      </w:pPr>
      <w:r>
        <w:rPr>
          <w:rFonts w:ascii="Calibri" w:hAnsi="Calibri"/>
          <w:b w:val="0"/>
          <w:i w:val="0"/>
          <w:color w:val="666666"/>
          <w:sz w:val="20"/>
        </w:rPr>
        <w:t>Behavioral explanation only — no source-code listing</w:t>
      </w:r>
    </w:p>
    <w:p>
      <w:r>
        <w:br w:type="page"/>
      </w:r>
    </w:p>
    <w:p>
      <w:pPr>
        <w:pStyle w:val="Heading1"/>
      </w:pPr>
      <w:r>
        <w:t>1. What the system is</w:t>
      </w:r>
    </w:p>
    <w:p>
      <w:pPr>
        <w:spacing w:after="80" w:line="259" w:lineRule="auto"/>
      </w:pPr>
      <w:r>
        <w:rPr>
          <w:rFonts w:ascii="Calibri" w:hAnsi="Calibri"/>
          <w:b w:val="0"/>
          <w:i w:val="0"/>
          <w:color w:val="000000"/>
          <w:sz w:val="19"/>
        </w:rPr>
        <w:t>The program is an auditable cross-sectional screening engine for US-listed single stocks. It ingests a point-in-time fundamental and market dataset, verifies the schema, builds economically interpretable features, compares every usable factor with industry and sector peers, converts heterogeneous data to a common 0–100 scale, aggregates evidence through duplicate groups and factor families, measures data confidence separately from directional conviction, applies hard risk gates, and produces tightly limited long and short candidate universes.</w:t>
      </w:r>
    </w:p>
    <w:p>
      <w:pPr>
        <w:spacing w:after="80" w:line="259" w:lineRule="auto"/>
      </w:pPr>
      <w:r>
        <w:rPr>
          <w:rFonts w:ascii="Calibri" w:hAnsi="Calibri"/>
          <w:b w:val="0"/>
          <w:i w:val="0"/>
          <w:color w:val="000000"/>
          <w:sz w:val="19"/>
        </w:rPr>
        <w:t>It is a screening and ranking system, not an intrinsic-value model, return forecast, portfolio optimizer, position-sizing engine, execution algorithm, or trade recommendation. A score describes relative evidence in the supplied cross-section. It is not a predicted percentage return or probability of profit.</w:t>
      </w:r>
    </w:p>
    <w:p>
      <w:pPr>
        <w:spacing w:after="80" w:line="259" w:lineRule="auto"/>
      </w:pPr>
      <w:r>
        <w:rPr>
          <w:rFonts w:ascii="Calibri" w:hAnsi="Calibri"/>
          <w:b w:val="0"/>
          <w:i w:val="0"/>
          <w:color w:val="000000"/>
          <w:sz w:val="19"/>
        </w:rPr>
        <w:t>The active strategies are Safe, High Growth Potential and Turnaround Story. Correlated signals consolidate before family aggregation, and the shared diagnostic direction composite is reliability-adjusted toward neutral.</w:t>
      </w:r>
    </w:p>
    <w:p>
      <w:pPr>
        <w:spacing w:after="80" w:line="259" w:lineRule="auto"/>
      </w:pPr>
      <w:r>
        <w:rPr>
          <w:rFonts w:ascii="Calibri" w:hAnsi="Calibri"/>
          <w:b w:val="0"/>
          <w:i w:val="0"/>
          <w:color w:val="000000"/>
          <w:sz w:val="19"/>
        </w:rPr>
        <w:t>Latest recorded run: 2,547 source rows; 2,478 eligible; 69 excluded; 17 sectors; 232 industries; 331 insufficient-data names; 10 quant longs; 10 quant shorts.</w:t>
      </w:r>
    </w:p>
    <w:p>
      <w:pPr>
        <w:pStyle w:val="Heading1"/>
      </w:pPr>
      <w:r>
        <w:t>2. System architecture at a glance</w:t>
      </w:r>
    </w:p>
    <w:p>
      <w:pPr>
        <w:spacing w:after="80" w:line="259" w:lineRule="auto"/>
      </w:pPr>
      <w:r>
        <w:rPr>
          <w:rFonts w:ascii="Calibri" w:hAnsi="Calibri"/>
          <w:b w:val="0"/>
          <w:i w:val="0"/>
          <w:color w:val="000000"/>
          <w:sz w:val="19"/>
        </w:rPr>
        <w:t>The architecture is a staged DataFrame pipeline. Each stage adds columns without discarding the original source fields, so a final score can be traced back through its family contribution, duplicate group, oriented peer score, peer statistics, transformed feature, and raw source value.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1008"/>
            <w:shd w:fill="D9EAF7"/>
          </w:tcPr>
          <w:p>
            <w:r>
              <w:rPr>
                <w:rFonts w:ascii="Calibri" w:hAnsi="Calibri"/>
                <w:b/>
                <w:i w:val="0"/>
                <w:color w:val="000000"/>
                <w:sz w:val="16"/>
              </w:rPr>
              <w:t>Stage</w:t>
            </w:r>
          </w:p>
        </w:tc>
        <w:tc>
          <w:tcPr>
            <w:tcW w:type="dxa" w:w="4896"/>
            <w:shd w:fill="D9EAF7"/>
          </w:tcPr>
          <w:p>
            <w:r>
              <w:rPr>
                <w:rFonts w:ascii="Calibri" w:hAnsi="Calibri"/>
                <w:b/>
                <w:i w:val="0"/>
                <w:color w:val="000000"/>
                <w:sz w:val="16"/>
              </w:rPr>
              <w:t>Responsibility</w:t>
            </w:r>
          </w:p>
        </w:tc>
        <w:tc>
          <w:tcPr>
            <w:tcW w:type="dxa" w:w="3744"/>
            <w:shd w:fill="D9EAF7"/>
          </w:tcPr>
          <w:p>
            <w:r>
              <w:rPr>
                <w:rFonts w:ascii="Calibri" w:hAnsi="Calibri"/>
                <w:b/>
                <w:i w:val="0"/>
                <w:color w:val="000000"/>
                <w:sz w:val="16"/>
              </w:rPr>
              <w:t>Result</w:t>
            </w:r>
          </w:p>
        </w:tc>
      </w:tr>
      <w:tr>
        <w:trPr>
          <w:cantSplit/>
        </w:trPr>
        <w:tc>
          <w:tcPr>
            <w:tcW w:type="dxa" w:w="1008"/>
          </w:tcPr>
          <w:p>
            <w:pPr>
              <w:spacing w:after="0"/>
            </w:pPr>
            <w:r>
              <w:rPr>
                <w:rFonts w:ascii="Calibri" w:hAnsi="Calibri"/>
                <w:b w:val="0"/>
                <w:i w:val="0"/>
                <w:color w:val="000000"/>
                <w:sz w:val="15"/>
              </w:rPr>
              <w:t>1. Input</w:t>
            </w:r>
          </w:p>
        </w:tc>
        <w:tc>
          <w:tcPr>
            <w:tcW w:type="dxa" w:w="4896"/>
          </w:tcPr>
          <w:p>
            <w:pPr>
              <w:spacing w:after="0"/>
            </w:pPr>
            <w:r>
              <w:rPr>
                <w:rFonts w:ascii="Calibri" w:hAnsi="Calibri"/>
                <w:b w:val="0"/>
                <w:i w:val="0"/>
                <w:color w:val="000000"/>
                <w:sz w:val="15"/>
              </w:rPr>
              <w:t>Read Dataset and Control Panel from one local workbook or one authenticated Google Sheets session.</w:t>
            </w:r>
          </w:p>
        </w:tc>
        <w:tc>
          <w:tcPr>
            <w:tcW w:type="dxa" w:w="3744"/>
          </w:tcPr>
          <w:p>
            <w:pPr>
              <w:spacing w:after="0"/>
            </w:pPr>
            <w:r>
              <w:rPr>
                <w:rFonts w:ascii="Calibri" w:hAnsi="Calibri"/>
                <w:b w:val="0"/>
                <w:i w:val="0"/>
                <w:color w:val="000000"/>
                <w:sz w:val="15"/>
              </w:rPr>
              <w:t>Raw rows, workbook metadata, controls.</w:t>
            </w:r>
          </w:p>
        </w:tc>
      </w:tr>
      <w:tr>
        <w:trPr>
          <w:cantSplit/>
        </w:trPr>
        <w:tc>
          <w:tcPr>
            <w:tcW w:type="dxa" w:w="1008"/>
          </w:tcPr>
          <w:p>
            <w:pPr>
              <w:spacing w:after="0"/>
            </w:pPr>
            <w:r>
              <w:rPr>
                <w:rFonts w:ascii="Calibri" w:hAnsi="Calibri"/>
                <w:b w:val="0"/>
                <w:i w:val="0"/>
                <w:color w:val="000000"/>
                <w:sz w:val="15"/>
              </w:rPr>
              <w:t>2. Configuration</w:t>
            </w:r>
          </w:p>
        </w:tc>
        <w:tc>
          <w:tcPr>
            <w:tcW w:type="dxa" w:w="4896"/>
          </w:tcPr>
          <w:p>
            <w:pPr>
              <w:spacing w:after="0"/>
            </w:pPr>
            <w:r>
              <w:rPr>
                <w:rFonts w:ascii="Calibri" w:hAnsi="Calibri"/>
                <w:b w:val="0"/>
                <w:i w:val="0"/>
                <w:color w:val="000000"/>
                <w:sz w:val="15"/>
              </w:rPr>
              <w:t>Reset defaults, apply runtime control values transactionally, validate all ranges and weights.</w:t>
            </w:r>
          </w:p>
        </w:tc>
        <w:tc>
          <w:tcPr>
            <w:tcW w:type="dxa" w:w="3744"/>
          </w:tcPr>
          <w:p>
            <w:pPr>
              <w:spacing w:after="0"/>
            </w:pPr>
            <w:r>
              <w:rPr>
                <w:rFonts w:ascii="Calibri" w:hAnsi="Calibri"/>
                <w:b w:val="0"/>
                <w:i w:val="0"/>
                <w:color w:val="000000"/>
                <w:sz w:val="15"/>
              </w:rPr>
              <w:t>One internally consistent model configuration.</w:t>
            </w:r>
          </w:p>
        </w:tc>
      </w:tr>
      <w:tr>
        <w:trPr>
          <w:cantSplit/>
        </w:trPr>
        <w:tc>
          <w:tcPr>
            <w:tcW w:type="dxa" w:w="1008"/>
          </w:tcPr>
          <w:p>
            <w:pPr>
              <w:spacing w:after="0"/>
            </w:pPr>
            <w:r>
              <w:rPr>
                <w:rFonts w:ascii="Calibri" w:hAnsi="Calibri"/>
                <w:b w:val="0"/>
                <w:i w:val="0"/>
                <w:color w:val="000000"/>
                <w:sz w:val="15"/>
              </w:rPr>
              <w:t>3. Contract</w:t>
            </w:r>
          </w:p>
        </w:tc>
        <w:tc>
          <w:tcPr>
            <w:tcW w:type="dxa" w:w="4896"/>
          </w:tcPr>
          <w:p>
            <w:pPr>
              <w:spacing w:after="0"/>
            </w:pPr>
            <w:r>
              <w:rPr>
                <w:rFonts w:ascii="Calibri" w:hAnsi="Calibri"/>
                <w:b w:val="0"/>
                <w:i w:val="0"/>
                <w:color w:val="000000"/>
                <w:sz w:val="15"/>
              </w:rPr>
              <w:t>Check mandatory headers and reject duplicates or omissions.</w:t>
            </w:r>
          </w:p>
        </w:tc>
        <w:tc>
          <w:tcPr>
            <w:tcW w:type="dxa" w:w="3744"/>
          </w:tcPr>
          <w:p>
            <w:pPr>
              <w:spacing w:after="0"/>
            </w:pPr>
            <w:r>
              <w:rPr>
                <w:rFonts w:ascii="Calibri" w:hAnsi="Calibri"/>
                <w:b w:val="0"/>
                <w:i w:val="0"/>
                <w:color w:val="000000"/>
                <w:sz w:val="15"/>
              </w:rPr>
              <w:t>Known source schema.</w:t>
            </w:r>
          </w:p>
        </w:tc>
      </w:tr>
      <w:tr>
        <w:trPr>
          <w:cantSplit/>
        </w:trPr>
        <w:tc>
          <w:tcPr>
            <w:tcW w:type="dxa" w:w="1008"/>
          </w:tcPr>
          <w:p>
            <w:pPr>
              <w:spacing w:after="0"/>
            </w:pPr>
            <w:r>
              <w:rPr>
                <w:rFonts w:ascii="Calibri" w:hAnsi="Calibri"/>
                <w:b w:val="0"/>
                <w:i w:val="0"/>
                <w:color w:val="000000"/>
                <w:sz w:val="15"/>
              </w:rPr>
              <w:t>4. Cleaning</w:t>
            </w:r>
          </w:p>
        </w:tc>
        <w:tc>
          <w:tcPr>
            <w:tcW w:type="dxa" w:w="4896"/>
          </w:tcPr>
          <w:p>
            <w:pPr>
              <w:spacing w:after="0"/>
            </w:pPr>
            <w:r>
              <w:rPr>
                <w:rFonts w:ascii="Calibri" w:hAnsi="Calibri"/>
                <w:b w:val="0"/>
                <w:i w:val="0"/>
                <w:color w:val="000000"/>
                <w:sz w:val="15"/>
              </w:rPr>
              <w:t>Normalize identity fields and coerce genuine numeric columns; non-finite values become missing.</w:t>
            </w:r>
          </w:p>
        </w:tc>
        <w:tc>
          <w:tcPr>
            <w:tcW w:type="dxa" w:w="3744"/>
          </w:tcPr>
          <w:p>
            <w:pPr>
              <w:spacing w:after="0"/>
            </w:pPr>
            <w:r>
              <w:rPr>
                <w:rFonts w:ascii="Calibri" w:hAnsi="Calibri"/>
                <w:b w:val="0"/>
                <w:i w:val="0"/>
                <w:color w:val="000000"/>
                <w:sz w:val="15"/>
              </w:rPr>
              <w:t>Typed, source-row-traceable dataset.</w:t>
            </w:r>
          </w:p>
        </w:tc>
      </w:tr>
      <w:tr>
        <w:trPr>
          <w:cantSplit/>
        </w:trPr>
        <w:tc>
          <w:tcPr>
            <w:tcW w:type="dxa" w:w="1008"/>
          </w:tcPr>
          <w:p>
            <w:pPr>
              <w:spacing w:after="0"/>
            </w:pPr>
            <w:r>
              <w:rPr>
                <w:rFonts w:ascii="Calibri" w:hAnsi="Calibri"/>
                <w:b w:val="0"/>
                <w:i w:val="0"/>
                <w:color w:val="000000"/>
                <w:sz w:val="15"/>
              </w:rPr>
              <w:t>5. Universe</w:t>
            </w:r>
          </w:p>
        </w:tc>
        <w:tc>
          <w:tcPr>
            <w:tcW w:type="dxa" w:w="4896"/>
          </w:tcPr>
          <w:p>
            <w:pPr>
              <w:spacing w:after="0"/>
            </w:pPr>
            <w:r>
              <w:rPr>
                <w:rFonts w:ascii="Calibri" w:hAnsi="Calibri"/>
                <w:b w:val="0"/>
                <w:i w:val="0"/>
                <w:color w:val="000000"/>
                <w:sz w:val="15"/>
              </w:rPr>
              <w:t>Exclude blank identities and disallowed security types; reject duplicate eligible tickers.</w:t>
            </w:r>
          </w:p>
        </w:tc>
        <w:tc>
          <w:tcPr>
            <w:tcW w:type="dxa" w:w="3744"/>
          </w:tcPr>
          <w:p>
            <w:pPr>
              <w:spacing w:after="0"/>
            </w:pPr>
            <w:r>
              <w:rPr>
                <w:rFonts w:ascii="Calibri" w:hAnsi="Calibri"/>
                <w:b w:val="0"/>
                <w:i w:val="0"/>
                <w:color w:val="000000"/>
                <w:sz w:val="15"/>
              </w:rPr>
              <w:t>Eligible and excluded tables.</w:t>
            </w:r>
          </w:p>
        </w:tc>
      </w:tr>
      <w:tr>
        <w:trPr>
          <w:cantSplit/>
        </w:trPr>
        <w:tc>
          <w:tcPr>
            <w:tcW w:type="dxa" w:w="1008"/>
          </w:tcPr>
          <w:p>
            <w:pPr>
              <w:spacing w:after="0"/>
            </w:pPr>
            <w:r>
              <w:rPr>
                <w:rFonts w:ascii="Calibri" w:hAnsi="Calibri"/>
                <w:b w:val="0"/>
                <w:i w:val="0"/>
                <w:color w:val="000000"/>
                <w:sz w:val="15"/>
              </w:rPr>
              <w:t>6. Features</w:t>
            </w:r>
          </w:p>
        </w:tc>
        <w:tc>
          <w:tcPr>
            <w:tcW w:type="dxa" w:w="4896"/>
          </w:tcPr>
          <w:p>
            <w:pPr>
              <w:spacing w:after="0"/>
            </w:pPr>
            <w:r>
              <w:rPr>
                <w:rFonts w:ascii="Calibri" w:hAnsi="Calibri"/>
                <w:b w:val="0"/>
                <w:i w:val="0"/>
                <w:color w:val="000000"/>
                <w:sz w:val="15"/>
              </w:rPr>
              <w:t>Calculate sign-safe ratios, yields, margins, growth, balances, flags and reconciliation fields.</w:t>
            </w:r>
          </w:p>
        </w:tc>
        <w:tc>
          <w:tcPr>
            <w:tcW w:type="dxa" w:w="3744"/>
          </w:tcPr>
          <w:p>
            <w:pPr>
              <w:spacing w:after="0"/>
            </w:pPr>
            <w:r>
              <w:rPr>
                <w:rFonts w:ascii="Calibri" w:hAnsi="Calibri"/>
                <w:b w:val="0"/>
                <w:i w:val="0"/>
                <w:color w:val="000000"/>
                <w:sz w:val="15"/>
              </w:rPr>
              <w:t>Raw plus derived feature table.</w:t>
            </w:r>
          </w:p>
        </w:tc>
      </w:tr>
      <w:tr>
        <w:trPr>
          <w:cantSplit/>
        </w:trPr>
        <w:tc>
          <w:tcPr>
            <w:tcW w:type="dxa" w:w="1008"/>
          </w:tcPr>
          <w:p>
            <w:pPr>
              <w:spacing w:after="0"/>
            </w:pPr>
            <w:r>
              <w:rPr>
                <w:rFonts w:ascii="Calibri" w:hAnsi="Calibri"/>
                <w:b w:val="0"/>
                <w:i w:val="0"/>
                <w:color w:val="000000"/>
                <w:sz w:val="15"/>
              </w:rPr>
              <w:t>7. Peer engine</w:t>
            </w:r>
          </w:p>
        </w:tc>
        <w:tc>
          <w:tcPr>
            <w:tcW w:type="dxa" w:w="4896"/>
          </w:tcPr>
          <w:p>
            <w:pPr>
              <w:spacing w:after="0"/>
            </w:pPr>
            <w:r>
              <w:rPr>
                <w:rFonts w:ascii="Calibri" w:hAnsi="Calibri"/>
                <w:b w:val="0"/>
                <w:i w:val="0"/>
                <w:color w:val="000000"/>
                <w:sz w:val="15"/>
              </w:rPr>
              <w:t>Calculate factor-specific industry/sector distributions, shrinkage statistics, z-scores, percentiles and peer scores.</w:t>
            </w:r>
          </w:p>
        </w:tc>
        <w:tc>
          <w:tcPr>
            <w:tcW w:type="dxa" w:w="3744"/>
          </w:tcPr>
          <w:p>
            <w:pPr>
              <w:spacing w:after="0"/>
            </w:pPr>
            <w:r>
              <w:rPr>
                <w:rFonts w:ascii="Calibri" w:hAnsi="Calibri"/>
                <w:b w:val="0"/>
                <w:i w:val="0"/>
                <w:color w:val="000000"/>
                <w:sz w:val="15"/>
              </w:rPr>
              <w:t>Comparable 0–100 factor evidence.</w:t>
            </w:r>
          </w:p>
        </w:tc>
      </w:tr>
      <w:tr>
        <w:trPr>
          <w:cantSplit/>
        </w:trPr>
        <w:tc>
          <w:tcPr>
            <w:tcW w:type="dxa" w:w="1008"/>
          </w:tcPr>
          <w:p>
            <w:pPr>
              <w:spacing w:after="0"/>
            </w:pPr>
            <w:r>
              <w:rPr>
                <w:rFonts w:ascii="Calibri" w:hAnsi="Calibri"/>
                <w:b w:val="0"/>
                <w:i w:val="0"/>
                <w:color w:val="000000"/>
                <w:sz w:val="15"/>
              </w:rPr>
              <w:t>8. Policy</w:t>
            </w:r>
          </w:p>
        </w:tc>
        <w:tc>
          <w:tcPr>
            <w:tcW w:type="dxa" w:w="4896"/>
          </w:tcPr>
          <w:p>
            <w:pPr>
              <w:spacing w:after="0"/>
            </w:pPr>
            <w:r>
              <w:rPr>
                <w:rFonts w:ascii="Calibri" w:hAnsi="Calibri"/>
                <w:b w:val="0"/>
                <w:i w:val="0"/>
                <w:color w:val="000000"/>
                <w:sz w:val="15"/>
              </w:rPr>
              <w:t>Apply asymmetric liquidity treatment and financial-sector exclusions.</w:t>
            </w:r>
          </w:p>
        </w:tc>
        <w:tc>
          <w:tcPr>
            <w:tcW w:type="dxa" w:w="3744"/>
          </w:tcPr>
          <w:p>
            <w:pPr>
              <w:spacing w:after="0"/>
            </w:pPr>
            <w:r>
              <w:rPr>
                <w:rFonts w:ascii="Calibri" w:hAnsi="Calibri"/>
                <w:b w:val="0"/>
                <w:i w:val="0"/>
                <w:color w:val="000000"/>
                <w:sz w:val="15"/>
              </w:rPr>
              <w:t>Directional liquidity evidence and flags.</w:t>
            </w:r>
          </w:p>
        </w:tc>
      </w:tr>
      <w:tr>
        <w:trPr>
          <w:cantSplit/>
        </w:trPr>
        <w:tc>
          <w:tcPr>
            <w:tcW w:type="dxa" w:w="1008"/>
          </w:tcPr>
          <w:p>
            <w:pPr>
              <w:spacing w:after="0"/>
            </w:pPr>
            <w:r>
              <w:rPr>
                <w:rFonts w:ascii="Calibri" w:hAnsi="Calibri"/>
                <w:b w:val="0"/>
                <w:i w:val="0"/>
                <w:color w:val="000000"/>
                <w:sz w:val="15"/>
              </w:rPr>
              <w:t>9. Models</w:t>
            </w:r>
          </w:p>
        </w:tc>
        <w:tc>
          <w:tcPr>
            <w:tcW w:type="dxa" w:w="4896"/>
          </w:tcPr>
          <w:p>
            <w:pPr>
              <w:spacing w:after="0"/>
            </w:pPr>
            <w:r>
              <w:rPr>
                <w:rFonts w:ascii="Calibri" w:hAnsi="Calibri"/>
                <w:b w:val="0"/>
                <w:i w:val="0"/>
                <w:color w:val="000000"/>
                <w:sz w:val="15"/>
              </w:rPr>
              <w:t>Calculate the shared quant composite and three retained strategy scores with contribution diagnostics.</w:t>
            </w:r>
          </w:p>
        </w:tc>
        <w:tc>
          <w:tcPr>
            <w:tcW w:type="dxa" w:w="3744"/>
          </w:tcPr>
          <w:p>
            <w:pPr>
              <w:spacing w:after="0"/>
            </w:pPr>
            <w:r>
              <w:rPr>
                <w:rFonts w:ascii="Calibri" w:hAnsi="Calibri"/>
                <w:b w:val="0"/>
                <w:i w:val="0"/>
                <w:color w:val="000000"/>
                <w:sz w:val="15"/>
              </w:rPr>
              <w:t>Scores, coverage and contributions.</w:t>
            </w:r>
          </w:p>
        </w:tc>
      </w:tr>
      <w:tr>
        <w:trPr>
          <w:cantSplit/>
        </w:trPr>
        <w:tc>
          <w:tcPr>
            <w:tcW w:type="dxa" w:w="1008"/>
          </w:tcPr>
          <w:p>
            <w:pPr>
              <w:spacing w:after="0"/>
            </w:pPr>
            <w:r>
              <w:rPr>
                <w:rFonts w:ascii="Calibri" w:hAnsi="Calibri"/>
                <w:b w:val="0"/>
                <w:i w:val="0"/>
                <w:color w:val="000000"/>
                <w:sz w:val="15"/>
              </w:rPr>
              <w:t>10. Selection</w:t>
            </w:r>
          </w:p>
        </w:tc>
        <w:tc>
          <w:tcPr>
            <w:tcW w:type="dxa" w:w="4896"/>
          </w:tcPr>
          <w:p>
            <w:pPr>
              <w:spacing w:after="0"/>
            </w:pPr>
            <w:r>
              <w:rPr>
                <w:rFonts w:ascii="Calibri" w:hAnsi="Calibri"/>
                <w:b w:val="0"/>
                <w:i w:val="0"/>
                <w:color w:val="000000"/>
                <w:sz w:val="15"/>
              </w:rPr>
              <w:t>Apply deterministic ranks and separate balance-sheet and implementation gates.</w:t>
            </w:r>
          </w:p>
        </w:tc>
        <w:tc>
          <w:tcPr>
            <w:tcW w:type="dxa" w:w="3744"/>
          </w:tcPr>
          <w:p>
            <w:pPr>
              <w:spacing w:after="0"/>
            </w:pPr>
            <w:r>
              <w:rPr>
                <w:rFonts w:ascii="Calibri" w:hAnsi="Calibri"/>
                <w:b w:val="0"/>
                <w:i w:val="0"/>
                <w:color w:val="000000"/>
                <w:sz w:val="15"/>
              </w:rPr>
              <w:t>Quant candidates and implementation readiness.</w:t>
            </w:r>
          </w:p>
        </w:tc>
      </w:tr>
      <w:tr>
        <w:trPr>
          <w:cantSplit/>
        </w:trPr>
        <w:tc>
          <w:tcPr>
            <w:tcW w:type="dxa" w:w="1008"/>
          </w:tcPr>
          <w:p>
            <w:pPr>
              <w:spacing w:after="0"/>
            </w:pPr>
            <w:r>
              <w:rPr>
                <w:rFonts w:ascii="Calibri" w:hAnsi="Calibri"/>
                <w:b w:val="0"/>
                <w:i w:val="0"/>
                <w:color w:val="000000"/>
                <w:sz w:val="15"/>
              </w:rPr>
              <w:t>11. Validation</w:t>
            </w:r>
          </w:p>
        </w:tc>
        <w:tc>
          <w:tcPr>
            <w:tcW w:type="dxa" w:w="4896"/>
          </w:tcPr>
          <w:p>
            <w:pPr>
              <w:spacing w:after="0"/>
            </w:pPr>
            <w:r>
              <w:rPr>
                <w:rFonts w:ascii="Calibri" w:hAnsi="Calibri"/>
                <w:b w:val="0"/>
                <w:i w:val="0"/>
                <w:color w:val="000000"/>
                <w:sz w:val="15"/>
              </w:rPr>
              <w:t>Recompute invariants and reject impossible or policy-breaking output.</w:t>
            </w:r>
          </w:p>
        </w:tc>
        <w:tc>
          <w:tcPr>
            <w:tcW w:type="dxa" w:w="3744"/>
          </w:tcPr>
          <w:p>
            <w:pPr>
              <w:spacing w:after="0"/>
            </w:pPr>
            <w:r>
              <w:rPr>
                <w:rFonts w:ascii="Calibri" w:hAnsi="Calibri"/>
                <w:b w:val="0"/>
                <w:i w:val="0"/>
                <w:color w:val="000000"/>
                <w:sz w:val="15"/>
              </w:rPr>
              <w:t>Verified results or a failed run.</w:t>
            </w:r>
          </w:p>
        </w:tc>
      </w:tr>
      <w:tr>
        <w:trPr>
          <w:cantSplit/>
        </w:trPr>
        <w:tc>
          <w:tcPr>
            <w:tcW w:type="dxa" w:w="1008"/>
          </w:tcPr>
          <w:p>
            <w:pPr>
              <w:spacing w:after="0"/>
            </w:pPr>
            <w:r>
              <w:rPr>
                <w:rFonts w:ascii="Calibri" w:hAnsi="Calibri"/>
                <w:b w:val="0"/>
                <w:i w:val="0"/>
                <w:color w:val="000000"/>
                <w:sz w:val="15"/>
              </w:rPr>
              <w:t>12. Publication</w:t>
            </w:r>
          </w:p>
        </w:tc>
        <w:tc>
          <w:tcPr>
            <w:tcW w:type="dxa" w:w="4896"/>
          </w:tcPr>
          <w:p>
            <w:pPr>
              <w:spacing w:after="0"/>
            </w:pPr>
            <w:r>
              <w:rPr>
                <w:rFonts w:ascii="Calibri" w:hAnsi="Calibri"/>
                <w:b w:val="0"/>
                <w:i w:val="0"/>
                <w:color w:val="000000"/>
                <w:sz w:val="15"/>
              </w:rPr>
              <w:t>Reconcile destination tabs, optionally batch-write live sheets, and always create local audit outputs.</w:t>
            </w:r>
          </w:p>
        </w:tc>
        <w:tc>
          <w:tcPr>
            <w:tcW w:type="dxa" w:w="3744"/>
          </w:tcPr>
          <w:p>
            <w:pPr>
              <w:spacing w:after="0"/>
            </w:pPr>
            <w:r>
              <w:rPr>
                <w:rFonts w:ascii="Calibri" w:hAnsi="Calibri"/>
                <w:b w:val="0"/>
                <w:i w:val="0"/>
                <w:color w:val="000000"/>
                <w:sz w:val="15"/>
              </w:rPr>
              <w:t>Human summaries plus full audit trail.</w:t>
            </w:r>
          </w:p>
        </w:tc>
      </w:tr>
    </w:tbl>
    <w:p>
      <w:pPr>
        <w:spacing w:after="20"/>
      </w:pPr>
    </w:p>
    <w:p>
      <w:pPr>
        <w:pStyle w:val="Heading1"/>
      </w:pPr>
      <w:r>
        <w:t>3. Execution modes and state changes</w:t>
      </w:r>
    </w:p>
    <w:p>
      <w:pPr>
        <w:pStyle w:val="Heading2"/>
      </w:pPr>
      <w:r>
        <w:t>3.1 Local or dry-run mode</w:t>
      </w:r>
    </w:p>
    <w:p>
      <w:pPr>
        <w:spacing w:after="80" w:line="259" w:lineRule="auto"/>
      </w:pPr>
      <w:r>
        <w:rPr>
          <w:rFonts w:ascii="Calibri" w:hAnsi="Calibri"/>
          <w:b w:val="0"/>
          <w:i w:val="0"/>
          <w:color w:val="000000"/>
          <w:sz w:val="19"/>
        </w:rPr>
        <w:t>The source is a workbook export. The program reads the Dataset tab and, when present, the Control Panel tab. It performs the entire calculation and writes local audit artifacts. It does not modify Google Sheets.</w:t>
      </w:r>
    </w:p>
    <w:p>
      <w:pPr>
        <w:pStyle w:val="Heading2"/>
      </w:pPr>
      <w:r>
        <w:t>3.2 Live mode</w:t>
      </w:r>
    </w:p>
    <w:p>
      <w:pPr>
        <w:spacing w:after="80" w:line="259" w:lineRule="auto"/>
      </w:pPr>
      <w:r>
        <w:rPr>
          <w:rFonts w:ascii="Calibri" w:hAnsi="Calibri"/>
          <w:b w:val="0"/>
          <w:i w:val="0"/>
          <w:color w:val="000000"/>
          <w:sz w:val="19"/>
        </w:rPr>
        <w:t>The program authenticates once, reads both the source Dataset and Control Panel in the same session, validates the destination workbook and its tabs, calculates the analysis, then updates the destination in batches. Live writing is explicit: merely running the model locally never changes the shared workbook.</w:t>
      </w:r>
    </w:p>
    <w:p>
      <w:pPr>
        <w:pStyle w:val="Heading2"/>
      </w:pPr>
      <w:r>
        <w:t>3.3 Safety boundaries</w:t>
      </w:r>
    </w:p>
    <w:p>
      <w:pPr>
        <w:pStyle w:val="ListBullet"/>
        <w:spacing w:after="40" w:line="250" w:lineRule="auto"/>
      </w:pPr>
      <w:r>
        <w:rPr>
          <w:rFonts w:ascii="Calibri" w:hAnsi="Calibri"/>
          <w:b w:val="0"/>
          <w:i w:val="0"/>
          <w:color w:val="000000"/>
          <w:sz w:val="19"/>
        </w:rPr>
        <w:t>Source and destination workbook identity is checked. Using the same workbook is refused unless explicitly permitted by configuration.</w:t>
      </w:r>
    </w:p>
    <w:p>
      <w:pPr>
        <w:pStyle w:val="ListBullet"/>
        <w:spacing w:after="40" w:line="250" w:lineRule="auto"/>
      </w:pPr>
      <w:r>
        <w:rPr>
          <w:rFonts w:ascii="Calibri" w:hAnsi="Calibri"/>
          <w:b w:val="0"/>
          <w:i w:val="0"/>
          <w:color w:val="000000"/>
          <w:sz w:val="19"/>
        </w:rPr>
        <w:t>Required industry tabs must already exist. Missing tabs stop the write; unexpected tabs are reported but protected summary/source tabs are excluded from reconciliation.</w:t>
      </w:r>
    </w:p>
    <w:p>
      <w:pPr>
        <w:pStyle w:val="ListBullet"/>
        <w:spacing w:after="40" w:line="250" w:lineRule="auto"/>
      </w:pPr>
      <w:r>
        <w:rPr>
          <w:rFonts w:ascii="Calibri" w:hAnsi="Calibri"/>
          <w:b w:val="0"/>
          <w:i w:val="0"/>
          <w:color w:val="000000"/>
          <w:sz w:val="19"/>
        </w:rPr>
        <w:t>The complete analysis is computed and validated before publication, reducing the chance of publishing a partially calculated model.</w:t>
      </w:r>
    </w:p>
    <w:p>
      <w:pPr>
        <w:pStyle w:val="ListBullet"/>
        <w:spacing w:after="40" w:line="250" w:lineRule="auto"/>
      </w:pPr>
      <w:r>
        <w:rPr>
          <w:rFonts w:ascii="Calibri" w:hAnsi="Calibri"/>
          <w:b w:val="0"/>
          <w:i w:val="0"/>
          <w:color w:val="000000"/>
          <w:sz w:val="19"/>
        </w:rPr>
        <w:t>Each written sheet is read back at its first-cell marker. A mismatch causes failure rather than silent success.</w:t>
      </w:r>
    </w:p>
    <w:p>
      <w:pPr>
        <w:pStyle w:val="Heading1"/>
      </w:pPr>
      <w:r>
        <w:t>4. Input contract, cleaning and universe</w:t>
      </w:r>
    </w:p>
    <w:p>
      <w:pPr>
        <w:pStyle w:val="Heading2"/>
      </w:pPr>
      <w:r>
        <w:t>4.1 Schema contract</w:t>
      </w:r>
    </w:p>
    <w:p>
      <w:pPr>
        <w:spacing w:after="80" w:line="259" w:lineRule="auto"/>
      </w:pPr>
      <w:r>
        <w:rPr>
          <w:rFonts w:ascii="Calibri" w:hAnsi="Calibri"/>
          <w:b w:val="0"/>
          <w:i w:val="0"/>
          <w:color w:val="000000"/>
          <w:sz w:val="19"/>
        </w:rPr>
        <w:t>The Dataset must contain the required identity, classification, valuation, estimates, balance-sheet, cash-flow, profitability, market, broker and trading fields defined by the model contract. Duplicate column names are invalid because they would make a calculation ambiguous. Missing required columns are invalid because the program does not silently invent data.</w:t>
      </w:r>
    </w:p>
    <w:p>
      <w:pPr>
        <w:pStyle w:val="Heading2"/>
      </w:pPr>
      <w:r>
        <w:t>4.2 Cleaning rules</w:t>
      </w:r>
    </w:p>
    <w:p>
      <w:pPr>
        <w:pStyle w:val="ListBullet"/>
        <w:spacing w:after="40" w:line="250" w:lineRule="auto"/>
      </w:pPr>
      <w:r>
        <w:rPr>
          <w:rFonts w:ascii="Calibri" w:hAnsi="Calibri"/>
          <w:b w:val="0"/>
          <w:i w:val="0"/>
          <w:color w:val="000000"/>
          <w:sz w:val="19"/>
        </w:rPr>
        <w:t>Ticker, company name, sector, industry and security type are treated as identity text and stripped of surrounding whitespace.</w:t>
      </w:r>
    </w:p>
    <w:p>
      <w:pPr>
        <w:pStyle w:val="ListBullet"/>
        <w:spacing w:after="40" w:line="250" w:lineRule="auto"/>
      </w:pPr>
      <w:r>
        <w:rPr>
          <w:rFonts w:ascii="Calibri" w:hAnsi="Calibri"/>
          <w:b w:val="0"/>
          <w:i w:val="0"/>
          <w:color w:val="000000"/>
          <w:sz w:val="19"/>
        </w:rPr>
        <w:t>A non-identity column is converted to numeric when it contains numeric observations. Empty strings, invalid numerals and positive or negative infinity become missing values.</w:t>
      </w:r>
    </w:p>
    <w:p>
      <w:pPr>
        <w:pStyle w:val="ListBullet"/>
        <w:spacing w:after="40" w:line="250" w:lineRule="auto"/>
      </w:pPr>
      <w:r>
        <w:rPr>
          <w:rFonts w:ascii="Calibri" w:hAnsi="Calibri"/>
          <w:b w:val="0"/>
          <w:i w:val="0"/>
          <w:color w:val="000000"/>
          <w:sz w:val="19"/>
        </w:rPr>
        <w:t>Missing is never silently replaced by zero. Zero has economic meaning; missing means the observation cannot contribute.</w:t>
      </w:r>
    </w:p>
    <w:p>
      <w:pPr>
        <w:pStyle w:val="ListBullet"/>
        <w:spacing w:after="40" w:line="250" w:lineRule="auto"/>
      </w:pPr>
      <w:r>
        <w:rPr>
          <w:rFonts w:ascii="Calibri" w:hAnsi="Calibri"/>
          <w:b w:val="0"/>
          <w:i w:val="0"/>
          <w:color w:val="000000"/>
          <w:sz w:val="19"/>
        </w:rPr>
        <w:t>Every row receives a Source Row identifier corresponding to its original spreadsheet row, which is retained for audit and deterministic tie-breaking.</w:t>
      </w:r>
    </w:p>
    <w:p>
      <w:pPr>
        <w:pStyle w:val="ListBullet"/>
        <w:spacing w:after="40" w:line="250" w:lineRule="auto"/>
      </w:pPr>
      <w:r>
        <w:rPr>
          <w:rFonts w:ascii="Calibri" w:hAnsi="Calibri"/>
          <w:b w:val="0"/>
          <w:i w:val="0"/>
          <w:color w:val="000000"/>
          <w:sz w:val="19"/>
        </w:rPr>
        <w:t>Percentage-point source fields remain percentage points unless a formula explicitly converts them to decimals by dividing by 100.</w:t>
      </w:r>
    </w:p>
    <w:p>
      <w:pPr>
        <w:pStyle w:val="Heading2"/>
      </w:pPr>
      <w:r>
        <w:t>4.3 Universe eligibility</w:t>
      </w:r>
    </w:p>
    <w:p>
      <w:pPr>
        <w:spacing w:after="80" w:line="259" w:lineRule="auto"/>
      </w:pPr>
      <w:r>
        <w:rPr>
          <w:rFonts w:ascii="Calibri" w:hAnsi="Calibri"/>
          <w:b w:val="0"/>
          <w:i w:val="0"/>
          <w:color w:val="000000"/>
          <w:sz w:val="19"/>
        </w:rPr>
        <w:t>A row is excluded using a priority reason: blank ticker, blank sector, blank industry, or security type outside the approved set. Security-type matching is case-insensitive. The current allowed types are COM, ADR, CDN, MLP, ADS and ASR. ETFs and closed-end funds are therefore excluded unless the control policy is deliberately changed.</w:t>
      </w:r>
    </w:p>
    <w:p>
      <w:pPr>
        <w:spacing w:after="80" w:line="259" w:lineRule="auto"/>
      </w:pPr>
      <w:r>
        <w:rPr>
          <w:rFonts w:ascii="Calibri" w:hAnsi="Calibri"/>
          <w:b w:val="0"/>
          <w:i w:val="0"/>
          <w:color w:val="000000"/>
          <w:sz w:val="19"/>
        </w:rPr>
        <w:t>After exclusions, duplicate eligible tickers cause the run to fail. This avoids treating two rows for the same instrument as independent observations and prevents ambiguous candidate output.</w:t>
      </w:r>
    </w:p>
    <w:p>
      <w:pPr>
        <w:pStyle w:val="Heading1"/>
      </w:pPr>
      <w:r>
        <w:t>5. Mathematical primitives and missing-data rules</w:t>
      </w:r>
    </w:p>
    <w:p>
      <w:pPr>
        <w:pStyle w:val="Heading2"/>
      </w:pPr>
      <w:r>
        <w:t>5.1 Safe division</w:t>
      </w:r>
    </w:p>
    <w:p>
      <w:pPr>
        <w:keepLines/>
        <w:spacing w:after="80"/>
        <w:jc w:val="center"/>
      </w:pPr>
      <w:r>
        <w:rPr>
          <w:rFonts w:ascii="Calibri" w:hAnsi="Calibri"/>
          <w:b w:val="0"/>
          <w:i/>
          <w:color w:val="1F1F1F"/>
          <w:sz w:val="19"/>
        </w:rPr>
        <w:t>safe_ratio(A,B) = A / B only when both values exist and B ≠ 0</w:t>
      </w:r>
    </w:p>
    <w:p>
      <w:pPr>
        <w:spacing w:after="80" w:line="259" w:lineRule="auto"/>
      </w:pPr>
      <w:r>
        <w:rPr>
          <w:rFonts w:ascii="Calibri" w:hAnsi="Calibri"/>
          <w:b w:val="0"/>
          <w:i w:val="0"/>
          <w:color w:val="000000"/>
          <w:sz w:val="19"/>
        </w:rPr>
        <w:t>Where economic interpretation requires a positive base, the denominator must also be greater than zero. Invalid observations become missing rather than infinite, extreme by construction, or zero.</w:t>
      </w:r>
    </w:p>
    <w:p>
      <w:pPr>
        <w:pStyle w:val="Heading2"/>
      </w:pPr>
      <w:r>
        <w:t>5.2 Governed unit normalisation</w:t>
      </w:r>
    </w:p>
    <w:p>
      <w:pPr>
        <w:keepLines/>
        <w:spacing w:after="80"/>
        <w:jc w:val="center"/>
      </w:pPr>
      <w:r>
        <w:rPr>
          <w:rFonts w:ascii="Calibri" w:hAnsi="Calibri"/>
          <w:b w:val="0"/>
          <w:i/>
          <w:color w:val="1F1F1F"/>
          <w:sz w:val="19"/>
        </w:rPr>
        <w:t>decimal_percentage = source_percentage_points / 100</w:t>
      </w:r>
    </w:p>
    <w:p>
      <w:pPr>
        <w:spacing w:after="80" w:line="259" w:lineRule="auto"/>
      </w:pPr>
      <w:r>
        <w:rPr>
          <w:rFonts w:ascii="Calibri" w:hAnsi="Calibri"/>
          <w:b w:val="0"/>
          <w:i w:val="0"/>
          <w:color w:val="000000"/>
          <w:sz w:val="19"/>
        </w:rPr>
        <w:t>Every model-critical field has an explicit source unit and transformation in the unit registry. Percentage-point fields use the conversion above only when their registry entry requires it. Total Debt/Equity is already a ratio and therefore uses the identity transformation: a source value of 0.03821 remains 0.03821.</w:t>
      </w:r>
    </w:p>
    <w:p>
      <w:pPr>
        <w:pStyle w:val="Heading2"/>
      </w:pPr>
      <w:r>
        <w:t>5.3 Natural logarithm</w:t>
      </w:r>
    </w:p>
    <w:p>
      <w:pPr>
        <w:keepLines/>
        <w:spacing w:after="80"/>
        <w:jc w:val="center"/>
      </w:pPr>
      <w:r>
        <w:rPr>
          <w:rFonts w:ascii="Calibri" w:hAnsi="Calibri"/>
          <w:b w:val="0"/>
          <w:i/>
          <w:color w:val="1F1F1F"/>
          <w:sz w:val="19"/>
        </w:rPr>
        <w:t>log(x) = ln(x), valid only for x &gt; 0</w:t>
      </w:r>
    </w:p>
    <w:p>
      <w:pPr>
        <w:spacing w:after="80" w:line="259" w:lineRule="auto"/>
      </w:pPr>
      <w:r>
        <w:rPr>
          <w:rFonts w:ascii="Calibri" w:hAnsi="Calibri"/>
          <w:b w:val="0"/>
          <w:i w:val="0"/>
          <w:color w:val="000000"/>
          <w:sz w:val="19"/>
        </w:rPr>
        <w:t>The natural log compresses right-skewed positive variables such as market capitalisation. Multiplicative changes become additive: doubling has the same log distance regardless of starting scale.</w:t>
      </w:r>
    </w:p>
    <w:p>
      <w:pPr>
        <w:pStyle w:val="Heading2"/>
      </w:pPr>
      <w:r>
        <w:t>5.4 Signed logarithm</w:t>
      </w:r>
    </w:p>
    <w:p>
      <w:pPr>
        <w:keepLines/>
        <w:spacing w:after="80"/>
        <w:jc w:val="center"/>
      </w:pPr>
      <w:r>
        <w:rPr>
          <w:rFonts w:ascii="Calibri" w:hAnsi="Calibri"/>
          <w:b w:val="0"/>
          <w:i/>
          <w:color w:val="1F1F1F"/>
          <w:sz w:val="19"/>
        </w:rPr>
        <w:t>signed_log(x) = sign(x) × ln(1 + |x|)</w:t>
      </w:r>
    </w:p>
    <w:p>
      <w:pPr>
        <w:spacing w:after="80" w:line="259" w:lineRule="auto"/>
      </w:pPr>
      <w:r>
        <w:rPr>
          <w:rFonts w:ascii="Calibri" w:hAnsi="Calibri"/>
          <w:b w:val="0"/>
          <w:i w:val="0"/>
          <w:color w:val="000000"/>
          <w:sz w:val="19"/>
        </w:rPr>
        <w:t>This compresses magnitude while preserving zero and sign. It is useful for cash-flow values that may legitimately be positive or negative.</w:t>
      </w:r>
    </w:p>
    <w:p>
      <w:pPr>
        <w:pStyle w:val="Heading2"/>
      </w:pPr>
      <w:r>
        <w:t>5.5 Positive inverse</w:t>
      </w:r>
    </w:p>
    <w:p>
      <w:pPr>
        <w:keepLines/>
        <w:spacing w:after="80"/>
        <w:jc w:val="center"/>
      </w:pPr>
      <w:r>
        <w:rPr>
          <w:rFonts w:ascii="Calibri" w:hAnsi="Calibri"/>
          <w:b w:val="0"/>
          <w:i/>
          <w:color w:val="1F1F1F"/>
          <w:sz w:val="19"/>
        </w:rPr>
        <w:t>inverse_positive(x) = 1 / x only when x &gt; 0</w:t>
      </w:r>
    </w:p>
    <w:p>
      <w:pPr>
        <w:spacing w:after="80" w:line="259" w:lineRule="auto"/>
      </w:pPr>
      <w:r>
        <w:rPr>
          <w:rFonts w:ascii="Calibri" w:hAnsi="Calibri"/>
          <w:b w:val="0"/>
          <w:i w:val="0"/>
          <w:color w:val="000000"/>
          <w:sz w:val="19"/>
        </w:rPr>
        <w:t>This converts positive valuation multiples into yields. Non-positive multiples are treated as economically non-meaningful for this transformation, not as extraordinarily cheap securities.</w:t>
      </w:r>
    </w:p>
    <w:p>
      <w:pPr>
        <w:pStyle w:val="Heading2"/>
      </w:pPr>
      <w:r>
        <w:t>5.6 Missing-data principle</w:t>
      </w:r>
    </w:p>
    <w:p>
      <w:pPr>
        <w:spacing w:after="80" w:line="259" w:lineRule="auto"/>
      </w:pPr>
      <w:r>
        <w:rPr>
          <w:rFonts w:ascii="Calibri" w:hAnsi="Calibri"/>
          <w:b w:val="0"/>
          <w:i w:val="0"/>
          <w:color w:val="000000"/>
          <w:sz w:val="19"/>
        </w:rPr>
        <w:t>A missing factor is excluded from the relevant weighted numerator and denominator. It is never entered as zero and never treated as neutral 50. However, it reduces factor or family coverage, which reduces confidence and may make the stock insufficient for selection. This separates the score implied by available evidence from the amount of evidence supporting it.</w:t>
      </w:r>
    </w:p>
    <w:p>
      <w:pPr>
        <w:pStyle w:val="Heading1"/>
      </w:pPr>
      <w:r>
        <w:t>6. Complete derived-feature registry</w:t>
      </w:r>
    </w:p>
    <w:p>
      <w:pPr>
        <w:spacing w:after="80" w:line="259" w:lineRule="auto"/>
      </w:pPr>
      <w:r>
        <w:rPr>
          <w:rFonts w:ascii="Calibri" w:hAnsi="Calibri"/>
          <w:b w:val="0"/>
          <w:i w:val="0"/>
          <w:color w:val="000000"/>
          <w:sz w:val="19"/>
        </w:rPr>
        <w:t>Every governed derived feature is listed below. ‘Scored’ means it may enter the expanded model when its inputs and peer statistics are valid. ‘Diagnostic/policy’ means it is retained for reconciliation, confidence, risk or a separate rule but is not automatically treated as one-sided alpha evidence.</w:t>
      </w:r>
    </w:p>
    <w:tbl>
      <w:tblPr>
        <w:tblStyle w:val="TableGrid"/>
        <w:tblW w:type="auto" w:w="0"/>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D9EAF7"/>
          </w:tcPr>
          <w:p>
            <w:r>
              <w:rPr>
                <w:rFonts w:ascii="Calibri" w:hAnsi="Calibri"/>
                <w:b/>
                <w:i w:val="0"/>
                <w:color w:val="000000"/>
                <w:sz w:val="16"/>
              </w:rPr>
              <w:t>Feature</w:t>
            </w:r>
          </w:p>
        </w:tc>
        <w:tc>
          <w:tcPr>
            <w:tcW w:type="dxa" w:w="1249"/>
            <w:shd w:fill="D9EAF7"/>
          </w:tcPr>
          <w:p>
            <w:r>
              <w:rPr>
                <w:rFonts w:ascii="Calibri" w:hAnsi="Calibri"/>
                <w:b/>
                <w:i w:val="0"/>
                <w:color w:val="000000"/>
                <w:sz w:val="16"/>
              </w:rPr>
              <w:t>Formula</w:t>
            </w:r>
          </w:p>
        </w:tc>
        <w:tc>
          <w:tcPr>
            <w:tcW w:type="dxa" w:w="1249"/>
            <w:shd w:fill="D9EAF7"/>
          </w:tcPr>
          <w:p>
            <w:r>
              <w:rPr>
                <w:rFonts w:ascii="Calibri" w:hAnsi="Calibri"/>
                <w:b/>
                <w:i w:val="0"/>
                <w:color w:val="000000"/>
                <w:sz w:val="16"/>
              </w:rPr>
              <w:t>Units</w:t>
            </w:r>
          </w:p>
        </w:tc>
        <w:tc>
          <w:tcPr>
            <w:tcW w:type="dxa" w:w="1249"/>
            <w:shd w:fill="D9EAF7"/>
          </w:tcPr>
          <w:p>
            <w:r>
              <w:rPr>
                <w:rFonts w:ascii="Calibri" w:hAnsi="Calibri"/>
                <w:b/>
                <w:i w:val="0"/>
                <w:color w:val="000000"/>
                <w:sz w:val="16"/>
              </w:rPr>
              <w:t>Validity</w:t>
            </w:r>
          </w:p>
        </w:tc>
        <w:tc>
          <w:tcPr>
            <w:tcW w:type="dxa" w:w="1249"/>
            <w:shd w:fill="D9EAF7"/>
          </w:tcPr>
          <w:p>
            <w:r>
              <w:rPr>
                <w:rFonts w:ascii="Calibri" w:hAnsi="Calibri"/>
                <w:b/>
                <w:i w:val="0"/>
                <w:color w:val="000000"/>
                <w:sz w:val="16"/>
              </w:rPr>
              <w:t>Family</w:t>
            </w:r>
          </w:p>
        </w:tc>
        <w:tc>
          <w:tcPr>
            <w:tcW w:type="dxa" w:w="1249"/>
            <w:shd w:fill="D9EAF7"/>
          </w:tcPr>
          <w:p>
            <w:r>
              <w:rPr>
                <w:rFonts w:ascii="Calibri" w:hAnsi="Calibri"/>
                <w:b/>
                <w:i w:val="0"/>
                <w:color w:val="000000"/>
                <w:sz w:val="16"/>
              </w:rPr>
              <w:t>Direction</w:t>
            </w:r>
          </w:p>
        </w:tc>
        <w:tc>
          <w:tcPr>
            <w:tcW w:type="dxa" w:w="1249"/>
            <w:shd w:fill="D9EAF7"/>
          </w:tcPr>
          <w:p>
            <w:r>
              <w:rPr>
                <w:rFonts w:ascii="Calibri" w:hAnsi="Calibri"/>
                <w:b/>
                <w:i w:val="0"/>
                <w:color w:val="000000"/>
                <w:sz w:val="16"/>
              </w:rPr>
              <w:t>Duplicate group</w:t>
            </w:r>
          </w:p>
        </w:tc>
        <w:tc>
          <w:tcPr>
            <w:tcW w:type="dxa" w:w="1249"/>
            <w:shd w:fill="D9EAF7"/>
          </w:tcPr>
          <w:p>
            <w:r>
              <w:rPr>
                <w:rFonts w:ascii="Calibri" w:hAnsi="Calibri"/>
                <w:b/>
                <w:i w:val="0"/>
                <w:color w:val="000000"/>
                <w:sz w:val="16"/>
              </w:rPr>
              <w:t>Use</w:t>
            </w:r>
          </w:p>
        </w:tc>
      </w:tr>
      <w:tr>
        <w:trPr>
          <w:cantSplit/>
        </w:trPr>
        <w:tc>
          <w:tcPr>
            <w:tcW w:type="dxa" w:w="1249"/>
          </w:tcPr>
          <w:p>
            <w:pPr>
              <w:spacing w:after="0"/>
            </w:pPr>
            <w:r>
              <w:rPr>
                <w:rFonts w:ascii="Calibri" w:hAnsi="Calibri"/>
                <w:b w:val="0"/>
                <w:i w:val="0"/>
                <w:color w:val="000000"/>
                <w:sz w:val="15"/>
              </w:rPr>
              <w:t>debt_equity_ratio</w:t>
            </w:r>
          </w:p>
        </w:tc>
        <w:tc>
          <w:tcPr>
            <w:tcW w:type="dxa" w:w="1249"/>
          </w:tcPr>
          <w:p>
            <w:pPr>
              <w:spacing w:after="0"/>
            </w:pPr>
            <w:r>
              <w:rPr>
                <w:rFonts w:ascii="Calibri" w:hAnsi="Calibri"/>
                <w:b w:val="0"/>
                <w:i w:val="0"/>
                <w:color w:val="000000"/>
                <w:sz w:val="15"/>
              </w:rPr>
              <w:t>configured ratio; identity transformation</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finite and non-negative</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capital_leverage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debt_total_capital_ratio</w:t>
            </w:r>
          </w:p>
        </w:tc>
        <w:tc>
          <w:tcPr>
            <w:tcW w:type="dxa" w:w="1249"/>
          </w:tcPr>
          <w:p>
            <w:pPr>
              <w:spacing w:after="0"/>
            </w:pPr>
            <w:r>
              <w:rPr>
                <w:rFonts w:ascii="Calibri" w:hAnsi="Calibri"/>
                <w:b w:val="0"/>
                <w:i w:val="0"/>
                <w:color w:val="000000"/>
                <w:sz w:val="15"/>
              </w:rPr>
              <w:t>configured percent / 100</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finite and non-negative</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capital_leverage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roe_valid</w:t>
            </w:r>
          </w:p>
        </w:tc>
        <w:tc>
          <w:tcPr>
            <w:tcW w:type="dxa" w:w="1249"/>
          </w:tcPr>
          <w:p>
            <w:pPr>
              <w:spacing w:after="0"/>
            </w:pPr>
            <w:r>
              <w:rPr>
                <w:rFonts w:ascii="Calibri" w:hAnsi="Calibri"/>
                <w:b w:val="0"/>
                <w:i w:val="0"/>
                <w:color w:val="000000"/>
                <w:sz w:val="15"/>
              </w:rPr>
              <w:t>reported_roe when common_equity &gt; 0</w:t>
            </w:r>
          </w:p>
        </w:tc>
        <w:tc>
          <w:tcPr>
            <w:tcW w:type="dxa" w:w="1249"/>
          </w:tcPr>
          <w:p>
            <w:pPr>
              <w:spacing w:after="0"/>
            </w:pPr>
            <w:r>
              <w:rPr>
                <w:rFonts w:ascii="Calibri" w:hAnsi="Calibri"/>
                <w:b w:val="0"/>
                <w:i w:val="0"/>
                <w:color w:val="000000"/>
                <w:sz w:val="15"/>
              </w:rPr>
              <w:t>percentage points</w:t>
            </w:r>
          </w:p>
        </w:tc>
        <w:tc>
          <w:tcPr>
            <w:tcW w:type="dxa" w:w="1249"/>
          </w:tcPr>
          <w:p>
            <w:pPr>
              <w:spacing w:after="0"/>
            </w:pPr>
            <w:r>
              <w:rPr>
                <w:rFonts w:ascii="Calibri" w:hAnsi="Calibri"/>
                <w:b w:val="0"/>
                <w:i w:val="0"/>
                <w:color w:val="000000"/>
                <w:sz w:val="15"/>
              </w:rPr>
              <w:t>common equity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returns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earnings_yield_f1</w:t>
            </w:r>
          </w:p>
        </w:tc>
        <w:tc>
          <w:tcPr>
            <w:tcW w:type="dxa" w:w="1249"/>
          </w:tcPr>
          <w:p>
            <w:pPr>
              <w:spacing w:after="0"/>
            </w:pPr>
            <w:r>
              <w:rPr>
                <w:rFonts w:ascii="Calibri" w:hAnsi="Calibri"/>
                <w:b w:val="0"/>
                <w:i w:val="0"/>
                <w:color w:val="000000"/>
                <w:sz w:val="15"/>
              </w:rPr>
              <w:t>1 / pe_f1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pe_f1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legacy_pe_yield</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earnings_yield_f2</w:t>
            </w:r>
          </w:p>
        </w:tc>
        <w:tc>
          <w:tcPr>
            <w:tcW w:type="dxa" w:w="1249"/>
          </w:tcPr>
          <w:p>
            <w:pPr>
              <w:spacing w:after="0"/>
            </w:pPr>
            <w:r>
              <w:rPr>
                <w:rFonts w:ascii="Calibri" w:hAnsi="Calibri"/>
                <w:b w:val="0"/>
                <w:i w:val="0"/>
                <w:color w:val="000000"/>
                <w:sz w:val="15"/>
              </w:rPr>
              <w:t>1 / pe_f2</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pe_f2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legacy_pe_yield</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earnings_yield_trailing</w:t>
            </w:r>
          </w:p>
        </w:tc>
        <w:tc>
          <w:tcPr>
            <w:tcW w:type="dxa" w:w="1249"/>
          </w:tcPr>
          <w:p>
            <w:pPr>
              <w:spacing w:after="0"/>
            </w:pPr>
            <w:r>
              <w:rPr>
                <w:rFonts w:ascii="Calibri" w:hAnsi="Calibri"/>
                <w:b w:val="0"/>
                <w:i w:val="0"/>
                <w:color w:val="000000"/>
                <w:sz w:val="15"/>
              </w:rPr>
              <w:t>1 / trailing_pe</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trailing_pe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legacy_pe_yield</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earnings_yield_pe_valid</w:t>
            </w:r>
          </w:p>
        </w:tc>
        <w:tc>
          <w:tcPr>
            <w:tcW w:type="dxa" w:w="1249"/>
          </w:tcPr>
          <w:p>
            <w:pPr>
              <w:spacing w:after="0"/>
            </w:pPr>
            <w:r>
              <w:rPr>
                <w:rFonts w:ascii="Calibri" w:hAnsi="Calibri"/>
                <w:b w:val="0"/>
                <w:i w:val="0"/>
                <w:color w:val="000000"/>
                <w:sz w:val="15"/>
              </w:rPr>
              <w:t>mean(1/valid positive P/E horizons)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at least one P/E &gt; 0</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earnings_value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signed_trailing_eps_yield</w:t>
            </w:r>
          </w:p>
        </w:tc>
        <w:tc>
          <w:tcPr>
            <w:tcW w:type="dxa" w:w="1249"/>
          </w:tcPr>
          <w:p>
            <w:pPr>
              <w:spacing w:after="0"/>
            </w:pPr>
            <w:r>
              <w:rPr>
                <w:rFonts w:ascii="Calibri" w:hAnsi="Calibri"/>
                <w:b w:val="0"/>
                <w:i w:val="0"/>
                <w:color w:val="000000"/>
                <w:sz w:val="15"/>
              </w:rPr>
              <w:t>trailing_eps / price</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price &gt; 0; EPS may be signed</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earnings_value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forward_eps_profitability</w:t>
            </w:r>
          </w:p>
        </w:tc>
        <w:tc>
          <w:tcPr>
            <w:tcW w:type="dxa" w:w="1249"/>
          </w:tcPr>
          <w:p>
            <w:pPr>
              <w:spacing w:after="0"/>
            </w:pPr>
            <w:r>
              <w:rPr>
                <w:rFonts w:ascii="Calibri" w:hAnsi="Calibri"/>
                <w:b w:val="0"/>
                <w:i w:val="0"/>
                <w:color w:val="000000"/>
                <w:sz w:val="15"/>
              </w:rPr>
              <w:t>mean(F1 EPS,F2 EPS) / price</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price &gt; 0; forward EPS may be signed</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earnings_value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book_yield</w:t>
            </w:r>
          </w:p>
        </w:tc>
        <w:tc>
          <w:tcPr>
            <w:tcW w:type="dxa" w:w="1249"/>
          </w:tcPr>
          <w:p>
            <w:pPr>
              <w:spacing w:after="0"/>
            </w:pPr>
            <w:r>
              <w:rPr>
                <w:rFonts w:ascii="Calibri" w:hAnsi="Calibri"/>
                <w:b w:val="0"/>
                <w:i w:val="0"/>
                <w:color w:val="000000"/>
                <w:sz w:val="15"/>
              </w:rPr>
              <w:t>1 / price_book</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price_book &gt; 0</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price_book_value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sales_yield</w:t>
            </w:r>
          </w:p>
        </w:tc>
        <w:tc>
          <w:tcPr>
            <w:tcW w:type="dxa" w:w="1249"/>
          </w:tcPr>
          <w:p>
            <w:pPr>
              <w:spacing w:after="0"/>
            </w:pPr>
            <w:r>
              <w:rPr>
                <w:rFonts w:ascii="Calibri" w:hAnsi="Calibri"/>
                <w:b w:val="0"/>
                <w:i w:val="0"/>
                <w:color w:val="000000"/>
                <w:sz w:val="15"/>
              </w:rPr>
              <w:t>1 / price_sales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price_sales &gt; 0</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price_sales_value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cash_flow_yield</w:t>
            </w:r>
          </w:p>
        </w:tc>
        <w:tc>
          <w:tcPr>
            <w:tcW w:type="dxa" w:w="1249"/>
          </w:tcPr>
          <w:p>
            <w:pPr>
              <w:spacing w:after="0"/>
            </w:pPr>
            <w:r>
              <w:rPr>
                <w:rFonts w:ascii="Calibri" w:hAnsi="Calibri"/>
                <w:b w:val="0"/>
                <w:i w:val="0"/>
                <w:color w:val="000000"/>
                <w:sz w:val="15"/>
              </w:rPr>
              <w:t>1 / price_cash_flow</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multiple &gt; 0</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price_cash_flow_value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growth_adjusted_pe_f1</w:t>
            </w:r>
          </w:p>
        </w:tc>
        <w:tc>
          <w:tcPr>
            <w:tcW w:type="dxa" w:w="1249"/>
          </w:tcPr>
          <w:p>
            <w:pPr>
              <w:spacing w:after="0"/>
            </w:pPr>
            <w:r>
              <w:rPr>
                <w:rFonts w:ascii="Calibri" w:hAnsi="Calibri"/>
                <w:b w:val="0"/>
                <w:i w:val="0"/>
                <w:color w:val="000000"/>
                <w:sz w:val="15"/>
              </w:rPr>
              <w:t>pe_f1 / eg1_pp</w:t>
            </w:r>
          </w:p>
        </w:tc>
        <w:tc>
          <w:tcPr>
            <w:tcW w:type="dxa" w:w="1249"/>
          </w:tcPr>
          <w:p>
            <w:pPr>
              <w:spacing w:after="0"/>
            </w:pPr>
            <w:r>
              <w:rPr>
                <w:rFonts w:ascii="Calibri" w:hAnsi="Calibri"/>
                <w:b w:val="0"/>
                <w:i w:val="0"/>
                <w:color w:val="000000"/>
                <w:sz w:val="15"/>
              </w:rPr>
              <w:t>multiple</w:t>
            </w:r>
          </w:p>
        </w:tc>
        <w:tc>
          <w:tcPr>
            <w:tcW w:type="dxa" w:w="1249"/>
          </w:tcPr>
          <w:p>
            <w:pPr>
              <w:spacing w:after="0"/>
            </w:pPr>
            <w:r>
              <w:rPr>
                <w:rFonts w:ascii="Calibri" w:hAnsi="Calibri"/>
                <w:b w:val="0"/>
                <w:i w:val="0"/>
                <w:color w:val="000000"/>
                <w:sz w:val="15"/>
              </w:rPr>
              <w:t>both &gt; 0</w:t>
            </w:r>
          </w:p>
        </w:tc>
        <w:tc>
          <w:tcPr>
            <w:tcW w:type="dxa" w:w="1249"/>
          </w:tcPr>
          <w:p>
            <w:pPr>
              <w:spacing w:after="0"/>
            </w:pPr>
            <w:r>
              <w:rPr>
                <w:rFonts w:ascii="Calibri" w:hAnsi="Calibri"/>
                <w:b w:val="0"/>
                <w:i w:val="0"/>
                <w:color w:val="000000"/>
                <w:sz w:val="15"/>
              </w:rPr>
              <w:t>VALUATION</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growth_adjusted_value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forward_sales_growth</w:t>
            </w:r>
          </w:p>
        </w:tc>
        <w:tc>
          <w:tcPr>
            <w:tcW w:type="dxa" w:w="1249"/>
          </w:tcPr>
          <w:p>
            <w:pPr>
              <w:spacing w:after="0"/>
            </w:pPr>
            <w:r>
              <w:rPr>
                <w:rFonts w:ascii="Calibri" w:hAnsi="Calibri"/>
                <w:b w:val="0"/>
                <w:i w:val="0"/>
                <w:color w:val="000000"/>
                <w:sz w:val="15"/>
              </w:rPr>
              <w:t>forward_sales_estimate / annual_sales - 1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both &gt; 0</w:t>
            </w:r>
          </w:p>
        </w:tc>
        <w:tc>
          <w:tcPr>
            <w:tcW w:type="dxa" w:w="1249"/>
          </w:tcPr>
          <w:p>
            <w:pPr>
              <w:spacing w:after="0"/>
            </w:pPr>
            <w:r>
              <w:rPr>
                <w:rFonts w:ascii="Calibri" w:hAnsi="Calibri"/>
                <w:b w:val="0"/>
                <w:i w:val="0"/>
                <w:color w:val="000000"/>
                <w:sz w:val="15"/>
              </w:rPr>
              <w:t>GROWTH</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sales_growth</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forward_pe_change</w:t>
            </w:r>
          </w:p>
        </w:tc>
        <w:tc>
          <w:tcPr>
            <w:tcW w:type="dxa" w:w="1249"/>
          </w:tcPr>
          <w:p>
            <w:pPr>
              <w:spacing w:after="0"/>
            </w:pPr>
            <w:r>
              <w:rPr>
                <w:rFonts w:ascii="Calibri" w:hAnsi="Calibri"/>
                <w:b w:val="0"/>
                <w:i w:val="0"/>
                <w:color w:val="000000"/>
                <w:sz w:val="15"/>
              </w:rPr>
              <w:t>pe_f2 / pe_f1 - 1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both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pe_curve</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forward_pe_spread</w:t>
            </w:r>
          </w:p>
        </w:tc>
        <w:tc>
          <w:tcPr>
            <w:tcW w:type="dxa" w:w="1249"/>
          </w:tcPr>
          <w:p>
            <w:pPr>
              <w:spacing w:after="0"/>
            </w:pPr>
            <w:r>
              <w:rPr>
                <w:rFonts w:ascii="Calibri" w:hAnsi="Calibri"/>
                <w:b w:val="0"/>
                <w:i w:val="0"/>
                <w:color w:val="000000"/>
                <w:sz w:val="15"/>
              </w:rPr>
              <w:t>pe_f2 - pe_f1</w:t>
            </w:r>
          </w:p>
        </w:tc>
        <w:tc>
          <w:tcPr>
            <w:tcW w:type="dxa" w:w="1249"/>
          </w:tcPr>
          <w:p>
            <w:pPr>
              <w:spacing w:after="0"/>
            </w:pPr>
            <w:r>
              <w:rPr>
                <w:rFonts w:ascii="Calibri" w:hAnsi="Calibri"/>
                <w:b w:val="0"/>
                <w:i w:val="0"/>
                <w:color w:val="000000"/>
                <w:sz w:val="15"/>
              </w:rPr>
              <w:t>multiple</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pe_curve</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gross_profit_mil</w:t>
            </w:r>
          </w:p>
        </w:tc>
        <w:tc>
          <w:tcPr>
            <w:tcW w:type="dxa" w:w="1249"/>
          </w:tcPr>
          <w:p>
            <w:pPr>
              <w:spacing w:after="0"/>
            </w:pPr>
            <w:r>
              <w:rPr>
                <w:rFonts w:ascii="Calibri" w:hAnsi="Calibri"/>
                <w:b w:val="0"/>
                <w:i w:val="0"/>
                <w:color w:val="000000"/>
                <w:sz w:val="15"/>
              </w:rPr>
              <w:t>sales - cogs</w:t>
            </w:r>
          </w:p>
        </w:tc>
        <w:tc>
          <w:tcPr>
            <w:tcW w:type="dxa" w:w="1249"/>
          </w:tcPr>
          <w:p>
            <w:pPr>
              <w:spacing w:after="0"/>
            </w:pPr>
            <w:r>
              <w:rPr>
                <w:rFonts w:ascii="Calibri" w:hAnsi="Calibri"/>
                <w:b w:val="0"/>
                <w:i w:val="0"/>
                <w:color w:val="000000"/>
                <w:sz w:val="15"/>
              </w:rPr>
              <w:t>$mil</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gross_profit</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gross_margin</w:t>
            </w:r>
          </w:p>
        </w:tc>
        <w:tc>
          <w:tcPr>
            <w:tcW w:type="dxa" w:w="1249"/>
          </w:tcPr>
          <w:p>
            <w:pPr>
              <w:spacing w:after="0"/>
            </w:pPr>
            <w:r>
              <w:rPr>
                <w:rFonts w:ascii="Calibri" w:hAnsi="Calibri"/>
                <w:b w:val="0"/>
                <w:i w:val="0"/>
                <w:color w:val="000000"/>
                <w:sz w:val="15"/>
              </w:rPr>
              <w:t>(sales-cogs)/sales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operating_margins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ebitda_margin</w:t>
            </w:r>
          </w:p>
        </w:tc>
        <w:tc>
          <w:tcPr>
            <w:tcW w:type="dxa" w:w="1249"/>
          </w:tcPr>
          <w:p>
            <w:pPr>
              <w:spacing w:after="0"/>
            </w:pPr>
            <w:r>
              <w:rPr>
                <w:rFonts w:ascii="Calibri" w:hAnsi="Calibri"/>
                <w:b w:val="0"/>
                <w:i w:val="0"/>
                <w:color w:val="000000"/>
                <w:sz w:val="15"/>
              </w:rPr>
              <w:t>ebitda/sales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operating_margins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ebit_margin</w:t>
            </w:r>
          </w:p>
        </w:tc>
        <w:tc>
          <w:tcPr>
            <w:tcW w:type="dxa" w:w="1249"/>
          </w:tcPr>
          <w:p>
            <w:pPr>
              <w:spacing w:after="0"/>
            </w:pPr>
            <w:r>
              <w:rPr>
                <w:rFonts w:ascii="Calibri" w:hAnsi="Calibri"/>
                <w:b w:val="0"/>
                <w:i w:val="0"/>
                <w:color w:val="000000"/>
                <w:sz w:val="15"/>
              </w:rPr>
              <w:t>ebit/sales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operating_margins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pretax_margin</w:t>
            </w:r>
          </w:p>
        </w:tc>
        <w:tc>
          <w:tcPr>
            <w:tcW w:type="dxa" w:w="1249"/>
          </w:tcPr>
          <w:p>
            <w:pPr>
              <w:spacing w:after="0"/>
            </w:pPr>
            <w:r>
              <w:rPr>
                <w:rFonts w:ascii="Calibri" w:hAnsi="Calibri"/>
                <w:b w:val="0"/>
                <w:i w:val="0"/>
                <w:color w:val="000000"/>
                <w:sz w:val="15"/>
              </w:rPr>
              <w:t>pretax/sales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operating_margins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net_income_margin</w:t>
            </w:r>
          </w:p>
        </w:tc>
        <w:tc>
          <w:tcPr>
            <w:tcW w:type="dxa" w:w="1249"/>
          </w:tcPr>
          <w:p>
            <w:pPr>
              <w:spacing w:after="0"/>
            </w:pPr>
            <w:r>
              <w:rPr>
                <w:rFonts w:ascii="Calibri" w:hAnsi="Calibri"/>
                <w:b w:val="0"/>
                <w:i w:val="0"/>
                <w:color w:val="000000"/>
                <w:sz w:val="15"/>
              </w:rPr>
              <w:t>net_income/sales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PROFITABILITY_AND_RETURNS</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operating_margins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cash_flow_margin</w:t>
            </w:r>
          </w:p>
        </w:tc>
        <w:tc>
          <w:tcPr>
            <w:tcW w:type="dxa" w:w="1249"/>
          </w:tcPr>
          <w:p>
            <w:pPr>
              <w:spacing w:after="0"/>
            </w:pPr>
            <w:r>
              <w:rPr>
                <w:rFonts w:ascii="Calibri" w:hAnsi="Calibri"/>
                <w:b w:val="0"/>
                <w:i w:val="0"/>
                <w:color w:val="000000"/>
                <w:sz w:val="15"/>
              </w:rPr>
              <w:t>generic_cash_flow/sales</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EARNINGS_QUALITY</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cash_flow_margin</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cash_conversion</w:t>
            </w:r>
          </w:p>
        </w:tc>
        <w:tc>
          <w:tcPr>
            <w:tcW w:type="dxa" w:w="1249"/>
          </w:tcPr>
          <w:p>
            <w:pPr>
              <w:spacing w:after="0"/>
            </w:pPr>
            <w:r>
              <w:rPr>
                <w:rFonts w:ascii="Calibri" w:hAnsi="Calibri"/>
                <w:b w:val="0"/>
                <w:i w:val="0"/>
                <w:color w:val="000000"/>
                <w:sz w:val="15"/>
              </w:rPr>
              <w:t>generic_cash_flow/net_income</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net_income &gt; 0</w:t>
            </w:r>
          </w:p>
        </w:tc>
        <w:tc>
          <w:tcPr>
            <w:tcW w:type="dxa" w:w="1249"/>
          </w:tcPr>
          <w:p>
            <w:pPr>
              <w:spacing w:after="0"/>
            </w:pPr>
            <w:r>
              <w:rPr>
                <w:rFonts w:ascii="Calibri" w:hAnsi="Calibri"/>
                <w:b w:val="0"/>
                <w:i w:val="0"/>
                <w:color w:val="000000"/>
                <w:sz w:val="15"/>
              </w:rPr>
              <w:t>EARNINGS_QUALITY</w:t>
            </w:r>
          </w:p>
        </w:tc>
        <w:tc>
          <w:tcPr>
            <w:tcW w:type="dxa" w:w="1249"/>
          </w:tcPr>
          <w:p>
            <w:pPr>
              <w:spacing w:after="0"/>
            </w:pPr>
            <w:r>
              <w:rPr>
                <w:rFonts w:ascii="Calibri" w:hAnsi="Calibri"/>
                <w:b w:val="0"/>
                <w:i w:val="0"/>
                <w:color w:val="000000"/>
                <w:sz w:val="15"/>
              </w:rPr>
              <w:t>target_range</w:t>
            </w:r>
          </w:p>
        </w:tc>
        <w:tc>
          <w:tcPr>
            <w:tcW w:type="dxa" w:w="1249"/>
          </w:tcPr>
          <w:p>
            <w:pPr>
              <w:spacing w:after="0"/>
            </w:pPr>
            <w:r>
              <w:rPr>
                <w:rFonts w:ascii="Calibri" w:hAnsi="Calibri"/>
                <w:b w:val="0"/>
                <w:i w:val="0"/>
                <w:color w:val="000000"/>
                <w:sz w:val="15"/>
              </w:rPr>
              <w:t>cash_conversion</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long_term_debt_equity</w:t>
            </w:r>
          </w:p>
        </w:tc>
        <w:tc>
          <w:tcPr>
            <w:tcW w:type="dxa" w:w="1249"/>
          </w:tcPr>
          <w:p>
            <w:pPr>
              <w:spacing w:after="0"/>
            </w:pPr>
            <w:r>
              <w:rPr>
                <w:rFonts w:ascii="Calibri" w:hAnsi="Calibri"/>
                <w:b w:val="0"/>
                <w:i w:val="0"/>
                <w:color w:val="000000"/>
                <w:sz w:val="15"/>
              </w:rPr>
              <w:t>long_term_debt/common_equity</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equity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capital_leverage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long_term_debt_ebitda</w:t>
            </w:r>
          </w:p>
        </w:tc>
        <w:tc>
          <w:tcPr>
            <w:tcW w:type="dxa" w:w="1249"/>
          </w:tcPr>
          <w:p>
            <w:pPr>
              <w:spacing w:after="0"/>
            </w:pPr>
            <w:r>
              <w:rPr>
                <w:rFonts w:ascii="Calibri" w:hAnsi="Calibri"/>
                <w:b w:val="0"/>
                <w:i w:val="0"/>
                <w:color w:val="000000"/>
                <w:sz w:val="15"/>
              </w:rPr>
              <w:t>long_term_debt/ebitda</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ebitda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debt_coverage_proxy</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long_term_debt_ebit</w:t>
            </w:r>
          </w:p>
        </w:tc>
        <w:tc>
          <w:tcPr>
            <w:tcW w:type="dxa" w:w="1249"/>
          </w:tcPr>
          <w:p>
            <w:pPr>
              <w:spacing w:after="0"/>
            </w:pPr>
            <w:r>
              <w:rPr>
                <w:rFonts w:ascii="Calibri" w:hAnsi="Calibri"/>
                <w:b w:val="0"/>
                <w:i w:val="0"/>
                <w:color w:val="000000"/>
                <w:sz w:val="15"/>
              </w:rPr>
              <w:t>long_term_debt/ebit</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ebit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debt_coverage_proxy</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preferred_common_equity</w:t>
            </w:r>
          </w:p>
        </w:tc>
        <w:tc>
          <w:tcPr>
            <w:tcW w:type="dxa" w:w="1249"/>
          </w:tcPr>
          <w:p>
            <w:pPr>
              <w:spacing w:after="0"/>
            </w:pPr>
            <w:r>
              <w:rPr>
                <w:rFonts w:ascii="Calibri" w:hAnsi="Calibri"/>
                <w:b w:val="0"/>
                <w:i w:val="0"/>
                <w:color w:val="000000"/>
                <w:sz w:val="15"/>
              </w:rPr>
              <w:t>preferred/common_equity</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equity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preferred_equity</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working_capital_mil</w:t>
            </w:r>
          </w:p>
        </w:tc>
        <w:tc>
          <w:tcPr>
            <w:tcW w:type="dxa" w:w="1249"/>
          </w:tcPr>
          <w:p>
            <w:pPr>
              <w:spacing w:after="0"/>
            </w:pPr>
            <w:r>
              <w:rPr>
                <w:rFonts w:ascii="Calibri" w:hAnsi="Calibri"/>
                <w:b w:val="0"/>
                <w:i w:val="0"/>
                <w:color w:val="000000"/>
                <w:sz w:val="15"/>
              </w:rPr>
              <w:t>current_assets-current_liabilities</w:t>
            </w:r>
          </w:p>
        </w:tc>
        <w:tc>
          <w:tcPr>
            <w:tcW w:type="dxa" w:w="1249"/>
          </w:tcPr>
          <w:p>
            <w:pPr>
              <w:spacing w:after="0"/>
            </w:pPr>
            <w:r>
              <w:rPr>
                <w:rFonts w:ascii="Calibri" w:hAnsi="Calibri"/>
                <w:b w:val="0"/>
                <w:i w:val="0"/>
                <w:color w:val="000000"/>
                <w:sz w:val="15"/>
              </w:rPr>
              <w:t>$mil</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working_capital</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working_capital_to_sales</w:t>
            </w:r>
          </w:p>
        </w:tc>
        <w:tc>
          <w:tcPr>
            <w:tcW w:type="dxa" w:w="1249"/>
          </w:tcPr>
          <w:p>
            <w:pPr>
              <w:spacing w:after="0"/>
            </w:pPr>
            <w:r>
              <w:rPr>
                <w:rFonts w:ascii="Calibri" w:hAnsi="Calibri"/>
                <w:b w:val="0"/>
                <w:i w:val="0"/>
                <w:color w:val="000000"/>
                <w:sz w:val="15"/>
              </w:rPr>
              <w:t>(current_assets-current_liabilities)/sales</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LIQUIDITY_AND_EFFICIENCY</w:t>
            </w:r>
          </w:p>
        </w:tc>
        <w:tc>
          <w:tcPr>
            <w:tcW w:type="dxa" w:w="1249"/>
          </w:tcPr>
          <w:p>
            <w:pPr>
              <w:spacing w:after="0"/>
            </w:pPr>
            <w:r>
              <w:rPr>
                <w:rFonts w:ascii="Calibri" w:hAnsi="Calibri"/>
                <w:b w:val="0"/>
                <w:i w:val="0"/>
                <w:color w:val="000000"/>
                <w:sz w:val="15"/>
              </w:rPr>
              <w:t>target_range</w:t>
            </w:r>
          </w:p>
        </w:tc>
        <w:tc>
          <w:tcPr>
            <w:tcW w:type="dxa" w:w="1249"/>
          </w:tcPr>
          <w:p>
            <w:pPr>
              <w:spacing w:after="0"/>
            </w:pPr>
            <w:r>
              <w:rPr>
                <w:rFonts w:ascii="Calibri" w:hAnsi="Calibri"/>
                <w:b w:val="0"/>
                <w:i w:val="0"/>
                <w:color w:val="000000"/>
                <w:sz w:val="15"/>
              </w:rPr>
              <w:t>working_capital</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current_liabilities_assets</w:t>
            </w:r>
          </w:p>
        </w:tc>
        <w:tc>
          <w:tcPr>
            <w:tcW w:type="dxa" w:w="1249"/>
          </w:tcPr>
          <w:p>
            <w:pPr>
              <w:spacing w:after="0"/>
            </w:pPr>
            <w:r>
              <w:rPr>
                <w:rFonts w:ascii="Calibri" w:hAnsi="Calibri"/>
                <w:b w:val="0"/>
                <w:i w:val="0"/>
                <w:color w:val="000000"/>
                <w:sz w:val="15"/>
              </w:rPr>
              <w:t>current_liabilities/current_assets</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assets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current_balance</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receivables_days</w:t>
            </w:r>
          </w:p>
        </w:tc>
        <w:tc>
          <w:tcPr>
            <w:tcW w:type="dxa" w:w="1249"/>
          </w:tcPr>
          <w:p>
            <w:pPr>
              <w:spacing w:after="0"/>
            </w:pPr>
            <w:r>
              <w:rPr>
                <w:rFonts w:ascii="Calibri" w:hAnsi="Calibri"/>
                <w:b w:val="0"/>
                <w:i w:val="0"/>
                <w:color w:val="000000"/>
                <w:sz w:val="15"/>
              </w:rPr>
              <w:t>receivables/sales*365</w:t>
            </w:r>
          </w:p>
        </w:tc>
        <w:tc>
          <w:tcPr>
            <w:tcW w:type="dxa" w:w="1249"/>
          </w:tcPr>
          <w:p>
            <w:pPr>
              <w:spacing w:after="0"/>
            </w:pPr>
            <w:r>
              <w:rPr>
                <w:rFonts w:ascii="Calibri" w:hAnsi="Calibri"/>
                <w:b w:val="0"/>
                <w:i w:val="0"/>
                <w:color w:val="000000"/>
                <w:sz w:val="15"/>
              </w:rPr>
              <w:t>days</w:t>
            </w:r>
          </w:p>
        </w:tc>
        <w:tc>
          <w:tcPr>
            <w:tcW w:type="dxa" w:w="1249"/>
          </w:tcPr>
          <w:p>
            <w:pPr>
              <w:spacing w:after="0"/>
            </w:pPr>
            <w:r>
              <w:rPr>
                <w:rFonts w:ascii="Calibri" w:hAnsi="Calibri"/>
                <w:b w:val="0"/>
                <w:i w:val="0"/>
                <w:color w:val="000000"/>
                <w:sz w:val="15"/>
              </w:rPr>
              <w:t>sales &gt; 0</w:t>
            </w:r>
          </w:p>
        </w:tc>
        <w:tc>
          <w:tcPr>
            <w:tcW w:type="dxa" w:w="1249"/>
          </w:tcPr>
          <w:p>
            <w:pPr>
              <w:spacing w:after="0"/>
            </w:pPr>
            <w:r>
              <w:rPr>
                <w:rFonts w:ascii="Calibri" w:hAnsi="Calibri"/>
                <w:b w:val="0"/>
                <w:i w:val="0"/>
                <w:color w:val="000000"/>
                <w:sz w:val="15"/>
              </w:rPr>
              <w:t>LIQUIDITY_AND_EFFICIENCY</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asset_efficiency</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inventory_days</w:t>
            </w:r>
          </w:p>
        </w:tc>
        <w:tc>
          <w:tcPr>
            <w:tcW w:type="dxa" w:w="1249"/>
          </w:tcPr>
          <w:p>
            <w:pPr>
              <w:spacing w:after="0"/>
            </w:pPr>
            <w:r>
              <w:rPr>
                <w:rFonts w:ascii="Calibri" w:hAnsi="Calibri"/>
                <w:b w:val="0"/>
                <w:i w:val="0"/>
                <w:color w:val="000000"/>
                <w:sz w:val="15"/>
              </w:rPr>
              <w:t>inventory/cogs*365</w:t>
            </w:r>
          </w:p>
        </w:tc>
        <w:tc>
          <w:tcPr>
            <w:tcW w:type="dxa" w:w="1249"/>
          </w:tcPr>
          <w:p>
            <w:pPr>
              <w:spacing w:after="0"/>
            </w:pPr>
            <w:r>
              <w:rPr>
                <w:rFonts w:ascii="Calibri" w:hAnsi="Calibri"/>
                <w:b w:val="0"/>
                <w:i w:val="0"/>
                <w:color w:val="000000"/>
                <w:sz w:val="15"/>
              </w:rPr>
              <w:t>days</w:t>
            </w:r>
          </w:p>
        </w:tc>
        <w:tc>
          <w:tcPr>
            <w:tcW w:type="dxa" w:w="1249"/>
          </w:tcPr>
          <w:p>
            <w:pPr>
              <w:spacing w:after="0"/>
            </w:pPr>
            <w:r>
              <w:rPr>
                <w:rFonts w:ascii="Calibri" w:hAnsi="Calibri"/>
                <w:b w:val="0"/>
                <w:i w:val="0"/>
                <w:color w:val="000000"/>
                <w:sz w:val="15"/>
              </w:rPr>
              <w:t>cogs &gt; 0</w:t>
            </w:r>
          </w:p>
        </w:tc>
        <w:tc>
          <w:tcPr>
            <w:tcW w:type="dxa" w:w="1249"/>
          </w:tcPr>
          <w:p>
            <w:pPr>
              <w:spacing w:after="0"/>
            </w:pPr>
            <w:r>
              <w:rPr>
                <w:rFonts w:ascii="Calibri" w:hAnsi="Calibri"/>
                <w:b w:val="0"/>
                <w:i w:val="0"/>
                <w:color w:val="000000"/>
                <w:sz w:val="15"/>
              </w:rPr>
              <w:t>LIQUIDITY_AND_EFFICIENCY</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inventory_efficiency</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intangibles_equity</w:t>
            </w:r>
          </w:p>
        </w:tc>
        <w:tc>
          <w:tcPr>
            <w:tcW w:type="dxa" w:w="1249"/>
          </w:tcPr>
          <w:p>
            <w:pPr>
              <w:spacing w:after="0"/>
            </w:pPr>
            <w:r>
              <w:rPr>
                <w:rFonts w:ascii="Calibri" w:hAnsi="Calibri"/>
                <w:b w:val="0"/>
                <w:i w:val="0"/>
                <w:color w:val="000000"/>
                <w:sz w:val="15"/>
              </w:rPr>
              <w:t>intangibles/common_equity</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equity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intangibles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intangibles_market_cap</w:t>
            </w:r>
          </w:p>
        </w:tc>
        <w:tc>
          <w:tcPr>
            <w:tcW w:type="dxa" w:w="1249"/>
          </w:tcPr>
          <w:p>
            <w:pPr>
              <w:spacing w:after="0"/>
            </w:pPr>
            <w:r>
              <w:rPr>
                <w:rFonts w:ascii="Calibri" w:hAnsi="Calibri"/>
                <w:b w:val="0"/>
                <w:i w:val="0"/>
                <w:color w:val="000000"/>
                <w:sz w:val="15"/>
              </w:rPr>
              <w:t>intangibles/market_cap</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market_cap &gt; 0</w:t>
            </w:r>
          </w:p>
        </w:tc>
        <w:tc>
          <w:tcPr>
            <w:tcW w:type="dxa" w:w="1249"/>
          </w:tcPr>
          <w:p>
            <w:pPr>
              <w:spacing w:after="0"/>
            </w:pPr>
            <w:r>
              <w:rPr>
                <w:rFonts w:ascii="Calibri" w:hAnsi="Calibri"/>
                <w:b w:val="0"/>
                <w:i w:val="0"/>
                <w:color w:val="000000"/>
                <w:sz w:val="15"/>
              </w:rPr>
              <w:t>BALANCE_SHEET_AND_LEVERAGE</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intangibles</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average_daily_dollar_volume</w:t>
            </w:r>
          </w:p>
        </w:tc>
        <w:tc>
          <w:tcPr>
            <w:tcW w:type="dxa" w:w="1249"/>
          </w:tcPr>
          <w:p>
            <w:pPr>
              <w:spacing w:after="0"/>
            </w:pPr>
            <w:r>
              <w:rPr>
                <w:rFonts w:ascii="Calibri" w:hAnsi="Calibri"/>
                <w:b w:val="0"/>
                <w:i w:val="0"/>
                <w:color w:val="000000"/>
                <w:sz w:val="15"/>
              </w:rPr>
              <w:t>avg_volume*last_close</w:t>
            </w:r>
          </w:p>
        </w:tc>
        <w:tc>
          <w:tcPr>
            <w:tcW w:type="dxa" w:w="1249"/>
          </w:tcPr>
          <w:p>
            <w:pPr>
              <w:spacing w:after="0"/>
            </w:pPr>
            <w:r>
              <w:rPr>
                <w:rFonts w:ascii="Calibri" w:hAnsi="Calibri"/>
                <w:b w:val="0"/>
                <w:i w:val="0"/>
                <w:color w:val="000000"/>
                <w:sz w:val="15"/>
              </w:rPr>
              <w:t>$/day</w:t>
            </w:r>
          </w:p>
        </w:tc>
        <w:tc>
          <w:tcPr>
            <w:tcW w:type="dxa" w:w="1249"/>
          </w:tcPr>
          <w:p>
            <w:pPr>
              <w:spacing w:after="0"/>
            </w:pPr>
            <w:r>
              <w:rPr>
                <w:rFonts w:ascii="Calibri" w:hAnsi="Calibri"/>
                <w:b w:val="0"/>
                <w:i w:val="0"/>
                <w:color w:val="000000"/>
                <w:sz w:val="15"/>
              </w:rPr>
              <w:t>both &gt; 0</w:t>
            </w:r>
          </w:p>
        </w:tc>
        <w:tc>
          <w:tcPr>
            <w:tcW w:type="dxa" w:w="1249"/>
          </w:tcPr>
          <w:p>
            <w:pPr>
              <w:spacing w:after="0"/>
            </w:pPr>
            <w:r>
              <w:rPr>
                <w:rFonts w:ascii="Calibri" w:hAnsi="Calibri"/>
                <w:b w:val="0"/>
                <w:i w:val="0"/>
                <w:color w:val="000000"/>
                <w:sz w:val="15"/>
              </w:rPr>
              <w:t>TRADABILITY</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liquidity_scale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sales_per_share</w:t>
            </w:r>
          </w:p>
        </w:tc>
        <w:tc>
          <w:tcPr>
            <w:tcW w:type="dxa" w:w="1249"/>
          </w:tcPr>
          <w:p>
            <w:pPr>
              <w:spacing w:after="0"/>
            </w:pPr>
            <w:r>
              <w:rPr>
                <w:rFonts w:ascii="Calibri" w:hAnsi="Calibri"/>
                <w:b w:val="0"/>
                <w:i w:val="0"/>
                <w:color w:val="000000"/>
                <w:sz w:val="15"/>
              </w:rPr>
              <w:t>sales/shares</w:t>
            </w:r>
          </w:p>
        </w:tc>
        <w:tc>
          <w:tcPr>
            <w:tcW w:type="dxa" w:w="1249"/>
          </w:tcPr>
          <w:p>
            <w:pPr>
              <w:spacing w:after="0"/>
            </w:pPr>
            <w:r>
              <w:rPr>
                <w:rFonts w:ascii="Calibri" w:hAnsi="Calibri"/>
                <w:b w:val="0"/>
                <w:i w:val="0"/>
                <w:color w:val="000000"/>
                <w:sz w:val="15"/>
              </w:rPr>
              <w:t>$/share</w:t>
            </w:r>
          </w:p>
        </w:tc>
        <w:tc>
          <w:tcPr>
            <w:tcW w:type="dxa" w:w="1249"/>
          </w:tcPr>
          <w:p>
            <w:pPr>
              <w:spacing w:after="0"/>
            </w:pPr>
            <w:r>
              <w:rPr>
                <w:rFonts w:ascii="Calibri" w:hAnsi="Calibri"/>
                <w:b w:val="0"/>
                <w:i w:val="0"/>
                <w:color w:val="000000"/>
                <w:sz w:val="15"/>
              </w:rPr>
              <w:t>shares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sales_per_share</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ebitda_per_share</w:t>
            </w:r>
          </w:p>
        </w:tc>
        <w:tc>
          <w:tcPr>
            <w:tcW w:type="dxa" w:w="1249"/>
          </w:tcPr>
          <w:p>
            <w:pPr>
              <w:spacing w:after="0"/>
            </w:pPr>
            <w:r>
              <w:rPr>
                <w:rFonts w:ascii="Calibri" w:hAnsi="Calibri"/>
                <w:b w:val="0"/>
                <w:i w:val="0"/>
                <w:color w:val="000000"/>
                <w:sz w:val="15"/>
              </w:rPr>
              <w:t>ebitda/shares</w:t>
            </w:r>
          </w:p>
        </w:tc>
        <w:tc>
          <w:tcPr>
            <w:tcW w:type="dxa" w:w="1249"/>
          </w:tcPr>
          <w:p>
            <w:pPr>
              <w:spacing w:after="0"/>
            </w:pPr>
            <w:r>
              <w:rPr>
                <w:rFonts w:ascii="Calibri" w:hAnsi="Calibri"/>
                <w:b w:val="0"/>
                <w:i w:val="0"/>
                <w:color w:val="000000"/>
                <w:sz w:val="15"/>
              </w:rPr>
              <w:t>$/share</w:t>
            </w:r>
          </w:p>
        </w:tc>
        <w:tc>
          <w:tcPr>
            <w:tcW w:type="dxa" w:w="1249"/>
          </w:tcPr>
          <w:p>
            <w:pPr>
              <w:spacing w:after="0"/>
            </w:pPr>
            <w:r>
              <w:rPr>
                <w:rFonts w:ascii="Calibri" w:hAnsi="Calibri"/>
                <w:b w:val="0"/>
                <w:i w:val="0"/>
                <w:color w:val="000000"/>
                <w:sz w:val="15"/>
              </w:rPr>
              <w:t>shares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ebitda_per_share</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dividend_payout_ratio</w:t>
            </w:r>
          </w:p>
        </w:tc>
        <w:tc>
          <w:tcPr>
            <w:tcW w:type="dxa" w:w="1249"/>
          </w:tcPr>
          <w:p>
            <w:pPr>
              <w:spacing w:after="0"/>
            </w:pPr>
            <w:r>
              <w:rPr>
                <w:rFonts w:ascii="Calibri" w:hAnsi="Calibri"/>
                <w:b w:val="0"/>
                <w:i w:val="0"/>
                <w:color w:val="000000"/>
                <w:sz w:val="15"/>
              </w:rPr>
              <w:t>dividend/trailing_eps</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eps &gt; 0</w:t>
            </w:r>
          </w:p>
        </w:tc>
        <w:tc>
          <w:tcPr>
            <w:tcW w:type="dxa" w:w="1249"/>
          </w:tcPr>
          <w:p>
            <w:pPr>
              <w:spacing w:after="0"/>
            </w:pPr>
            <w:r>
              <w:rPr>
                <w:rFonts w:ascii="Calibri" w:hAnsi="Calibri"/>
                <w:b w:val="0"/>
                <w:i w:val="0"/>
                <w:color w:val="000000"/>
                <w:sz w:val="15"/>
              </w:rPr>
              <w:t>SHAREHOLDER_AND_YIELD</w:t>
            </w:r>
          </w:p>
        </w:tc>
        <w:tc>
          <w:tcPr>
            <w:tcW w:type="dxa" w:w="1249"/>
          </w:tcPr>
          <w:p>
            <w:pPr>
              <w:spacing w:after="0"/>
            </w:pPr>
            <w:r>
              <w:rPr>
                <w:rFonts w:ascii="Calibri" w:hAnsi="Calibri"/>
                <w:b w:val="0"/>
                <w:i w:val="0"/>
                <w:color w:val="000000"/>
                <w:sz w:val="15"/>
              </w:rPr>
              <w:t>target_range</w:t>
            </w:r>
          </w:p>
        </w:tc>
        <w:tc>
          <w:tcPr>
            <w:tcW w:type="dxa" w:w="1249"/>
          </w:tcPr>
          <w:p>
            <w:pPr>
              <w:spacing w:after="0"/>
            </w:pPr>
            <w:r>
              <w:rPr>
                <w:rFonts w:ascii="Calibri" w:hAnsi="Calibri"/>
                <w:b w:val="0"/>
                <w:i w:val="0"/>
                <w:color w:val="000000"/>
                <w:sz w:val="15"/>
              </w:rPr>
              <w:t>payout</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dividend_yield_reconstructed</w:t>
            </w:r>
          </w:p>
        </w:tc>
        <w:tc>
          <w:tcPr>
            <w:tcW w:type="dxa" w:w="1249"/>
          </w:tcPr>
          <w:p>
            <w:pPr>
              <w:spacing w:after="0"/>
            </w:pPr>
            <w:r>
              <w:rPr>
                <w:rFonts w:ascii="Calibri" w:hAnsi="Calibri"/>
                <w:b w:val="0"/>
                <w:i w:val="0"/>
                <w:color w:val="000000"/>
                <w:sz w:val="15"/>
              </w:rPr>
              <w:t>dividend/last_close</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price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dividend_yield</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distance_52w_high</w:t>
            </w:r>
          </w:p>
        </w:tc>
        <w:tc>
          <w:tcPr>
            <w:tcW w:type="dxa" w:w="1249"/>
          </w:tcPr>
          <w:p>
            <w:pPr>
              <w:spacing w:after="0"/>
            </w:pPr>
            <w:r>
              <w:rPr>
                <w:rFonts w:ascii="Calibri" w:hAnsi="Calibri"/>
                <w:b w:val="0"/>
                <w:i w:val="0"/>
                <w:color w:val="000000"/>
                <w:sz w:val="15"/>
              </w:rPr>
              <w:t>last_close/high-1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high &gt; 0</w:t>
            </w:r>
          </w:p>
        </w:tc>
        <w:tc>
          <w:tcPr>
            <w:tcW w:type="dxa" w:w="1249"/>
          </w:tcPr>
          <w:p>
            <w:pPr>
              <w:spacing w:after="0"/>
            </w:pPr>
            <w:r>
              <w:rPr>
                <w:rFonts w:ascii="Calibri" w:hAnsi="Calibri"/>
                <w:b w:val="0"/>
                <w:i w:val="0"/>
                <w:color w:val="000000"/>
                <w:sz w:val="15"/>
              </w:rPr>
              <w:t>MARKET_BEHAVIOUR</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range_position</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distance_52w_low</w:t>
            </w:r>
          </w:p>
        </w:tc>
        <w:tc>
          <w:tcPr>
            <w:tcW w:type="dxa" w:w="1249"/>
          </w:tcPr>
          <w:p>
            <w:pPr>
              <w:spacing w:after="0"/>
            </w:pPr>
            <w:r>
              <w:rPr>
                <w:rFonts w:ascii="Calibri" w:hAnsi="Calibri"/>
                <w:b w:val="0"/>
                <w:i w:val="0"/>
                <w:color w:val="000000"/>
                <w:sz w:val="15"/>
              </w:rPr>
              <w:t>last_close/low-1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low &gt; 0</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range_position</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range_position_reconstructed</w:t>
            </w:r>
          </w:p>
        </w:tc>
        <w:tc>
          <w:tcPr>
            <w:tcW w:type="dxa" w:w="1249"/>
          </w:tcPr>
          <w:p>
            <w:pPr>
              <w:spacing w:after="0"/>
            </w:pPr>
            <w:r>
              <w:rPr>
                <w:rFonts w:ascii="Calibri" w:hAnsi="Calibri"/>
                <w:b w:val="0"/>
                <w:i w:val="0"/>
                <w:color w:val="000000"/>
                <w:sz w:val="15"/>
              </w:rPr>
              <w:t>(close-low)/(high-low)</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high &gt; low</w:t>
            </w:r>
          </w:p>
        </w:tc>
        <w:tc>
          <w:tcPr>
            <w:tcW w:type="dxa" w:w="1249"/>
          </w:tcPr>
          <w:p>
            <w:pPr>
              <w:spacing w:after="0"/>
            </w:pPr>
            <w:r>
              <w:rPr>
                <w:rFonts w:ascii="Calibri" w:hAnsi="Calibri"/>
                <w:b w:val="0"/>
                <w:i w:val="0"/>
                <w:color w:val="000000"/>
                <w:sz w:val="15"/>
              </w:rPr>
              <w:t>None</w:t>
            </w:r>
          </w:p>
        </w:tc>
        <w:tc>
          <w:tcPr>
            <w:tcW w:type="dxa" w:w="1249"/>
          </w:tcPr>
          <w:p>
            <w:pPr>
              <w:spacing w:after="0"/>
            </w:pPr>
            <w:r>
              <w:rPr>
                <w:rFonts w:ascii="Calibri" w:hAnsi="Calibri"/>
                <w:b w:val="0"/>
                <w:i w:val="0"/>
                <w:color w:val="000000"/>
                <w:sz w:val="15"/>
              </w:rPr>
              <w:t>confidence_only</w:t>
            </w:r>
          </w:p>
        </w:tc>
        <w:tc>
          <w:tcPr>
            <w:tcW w:type="dxa" w:w="1249"/>
          </w:tcPr>
          <w:p>
            <w:pPr>
              <w:spacing w:after="0"/>
            </w:pPr>
            <w:r>
              <w:rPr>
                <w:rFonts w:ascii="Calibri" w:hAnsi="Calibri"/>
                <w:b w:val="0"/>
                <w:i w:val="0"/>
                <w:color w:val="000000"/>
                <w:sz w:val="15"/>
              </w:rPr>
              <w:t>range_position</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momentum_acceleration</w:t>
            </w:r>
          </w:p>
        </w:tc>
        <w:tc>
          <w:tcPr>
            <w:tcW w:type="dxa" w:w="1249"/>
          </w:tcPr>
          <w:p>
            <w:pPr>
              <w:spacing w:after="0"/>
            </w:pPr>
            <w:r>
              <w:rPr>
                <w:rFonts w:ascii="Calibri" w:hAnsi="Calibri"/>
                <w:b w:val="0"/>
                <w:i w:val="0"/>
                <w:color w:val="000000"/>
                <w:sz w:val="15"/>
              </w:rPr>
              <w:t>ret_4w-ret_12w/3</w:t>
            </w:r>
          </w:p>
        </w:tc>
        <w:tc>
          <w:tcPr>
            <w:tcW w:type="dxa" w:w="1249"/>
          </w:tcPr>
          <w:p>
            <w:pPr>
              <w:spacing w:after="0"/>
            </w:pPr>
            <w:r>
              <w:rPr>
                <w:rFonts w:ascii="Calibri" w:hAnsi="Calibri"/>
                <w:b w:val="0"/>
                <w:i w:val="0"/>
                <w:color w:val="000000"/>
                <w:sz w:val="15"/>
              </w:rPr>
              <w:t>percentage points</w:t>
            </w:r>
          </w:p>
        </w:tc>
        <w:tc>
          <w:tcPr>
            <w:tcW w:type="dxa" w:w="1249"/>
          </w:tcPr>
          <w:p>
            <w:pPr>
              <w:spacing w:after="0"/>
            </w:pPr>
            <w:r>
              <w:rPr>
                <w:rFonts w:ascii="Calibri" w:hAnsi="Calibri"/>
                <w:b w:val="0"/>
                <w:i w:val="0"/>
                <w:color w:val="000000"/>
                <w:sz w:val="15"/>
              </w:rPr>
              <w:t>finite; overlapping-horizon approximation</w:t>
            </w:r>
          </w:p>
        </w:tc>
        <w:tc>
          <w:tcPr>
            <w:tcW w:type="dxa" w:w="1249"/>
          </w:tcPr>
          <w:p>
            <w:pPr>
              <w:spacing w:after="0"/>
            </w:pPr>
            <w:r>
              <w:rPr>
                <w:rFonts w:ascii="Calibri" w:hAnsi="Calibri"/>
                <w:b w:val="0"/>
                <w:i w:val="0"/>
                <w:color w:val="000000"/>
                <w:sz w:val="15"/>
              </w:rPr>
              <w:t>MARKET_BEHAVIOUR</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momentum_acceleration</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beta_distance_one</w:t>
            </w:r>
          </w:p>
        </w:tc>
        <w:tc>
          <w:tcPr>
            <w:tcW w:type="dxa" w:w="1249"/>
          </w:tcPr>
          <w:p>
            <w:pPr>
              <w:spacing w:after="0"/>
            </w:pPr>
            <w:r>
              <w:rPr>
                <w:rFonts w:ascii="Calibri" w:hAnsi="Calibri"/>
                <w:b w:val="0"/>
                <w:i w:val="0"/>
                <w:color w:val="000000"/>
                <w:sz w:val="15"/>
              </w:rPr>
              <w:t>abs(beta-1)</w:t>
            </w:r>
          </w:p>
        </w:tc>
        <w:tc>
          <w:tcPr>
            <w:tcW w:type="dxa" w:w="1249"/>
          </w:tcPr>
          <w:p>
            <w:pPr>
              <w:spacing w:after="0"/>
            </w:pPr>
            <w:r>
              <w:rPr>
                <w:rFonts w:ascii="Calibri" w:hAnsi="Calibri"/>
                <w:b w:val="0"/>
                <w:i w:val="0"/>
                <w:color w:val="000000"/>
                <w:sz w:val="15"/>
              </w:rPr>
              <w:t>absolute beta</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MARKET_BEHAVIOUR</w:t>
            </w:r>
          </w:p>
        </w:tc>
        <w:tc>
          <w:tcPr>
            <w:tcW w:type="dxa" w:w="1249"/>
          </w:tcPr>
          <w:p>
            <w:pPr>
              <w:spacing w:after="0"/>
            </w:pPr>
            <w:r>
              <w:rPr>
                <w:rFonts w:ascii="Calibri" w:hAnsi="Calibri"/>
                <w:b w:val="0"/>
                <w:i w:val="0"/>
                <w:color w:val="000000"/>
                <w:sz w:val="15"/>
              </w:rPr>
              <w:t>two_sided_risk</w:t>
            </w:r>
          </w:p>
        </w:tc>
        <w:tc>
          <w:tcPr>
            <w:tcW w:type="dxa" w:w="1249"/>
          </w:tcPr>
          <w:p>
            <w:pPr>
              <w:spacing w:after="0"/>
            </w:pPr>
            <w:r>
              <w:rPr>
                <w:rFonts w:ascii="Calibri" w:hAnsi="Calibri"/>
                <w:b w:val="0"/>
                <w:i w:val="0"/>
                <w:color w:val="000000"/>
                <w:sz w:val="15"/>
              </w:rPr>
              <w:t>beta_risk</w:t>
            </w:r>
          </w:p>
        </w:tc>
        <w:tc>
          <w:tcPr>
            <w:tcW w:type="dxa" w:w="1249"/>
          </w:tcPr>
          <w:p>
            <w:pPr>
              <w:spacing w:after="0"/>
            </w:pPr>
            <w:r>
              <w:rPr>
                <w:rFonts w:ascii="Calibri" w:hAnsi="Calibri"/>
                <w:b w:val="0"/>
                <w:i w:val="0"/>
                <w:color w:val="000000"/>
                <w:sz w:val="15"/>
              </w:rPr>
              <w:t>Diagnostic/policy</w:t>
            </w:r>
          </w:p>
        </w:tc>
      </w:tr>
      <w:tr>
        <w:trPr>
          <w:cantSplit/>
        </w:trPr>
        <w:tc>
          <w:tcPr>
            <w:tcW w:type="dxa" w:w="1249"/>
          </w:tcPr>
          <w:p>
            <w:pPr>
              <w:spacing w:after="0"/>
            </w:pPr>
            <w:r>
              <w:rPr>
                <w:rFonts w:ascii="Calibri" w:hAnsi="Calibri"/>
                <w:b w:val="0"/>
                <w:i w:val="0"/>
                <w:color w:val="000000"/>
                <w:sz w:val="15"/>
              </w:rPr>
              <w:t>absolute_beta</w:t>
            </w:r>
          </w:p>
        </w:tc>
        <w:tc>
          <w:tcPr>
            <w:tcW w:type="dxa" w:w="1249"/>
          </w:tcPr>
          <w:p>
            <w:pPr>
              <w:spacing w:after="0"/>
            </w:pPr>
            <w:r>
              <w:rPr>
                <w:rFonts w:ascii="Calibri" w:hAnsi="Calibri"/>
                <w:b w:val="0"/>
                <w:i w:val="0"/>
                <w:color w:val="000000"/>
                <w:sz w:val="15"/>
              </w:rPr>
              <w:t>abs(beta)</w:t>
            </w:r>
          </w:p>
        </w:tc>
        <w:tc>
          <w:tcPr>
            <w:tcW w:type="dxa" w:w="1249"/>
          </w:tcPr>
          <w:p>
            <w:pPr>
              <w:spacing w:after="0"/>
            </w:pPr>
            <w:r>
              <w:rPr>
                <w:rFonts w:ascii="Calibri" w:hAnsi="Calibri"/>
                <w:b w:val="0"/>
                <w:i w:val="0"/>
                <w:color w:val="000000"/>
                <w:sz w:val="15"/>
              </w:rPr>
              <w:t>absolute beta</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RISK_AND_STABILITY</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market_risk</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range_width_52w</w:t>
            </w:r>
          </w:p>
        </w:tc>
        <w:tc>
          <w:tcPr>
            <w:tcW w:type="dxa" w:w="1249"/>
          </w:tcPr>
          <w:p>
            <w:pPr>
              <w:spacing w:after="0"/>
            </w:pPr>
            <w:r>
              <w:rPr>
                <w:rFonts w:ascii="Calibri" w:hAnsi="Calibri"/>
                <w:b w:val="0"/>
                <w:i w:val="0"/>
                <w:color w:val="000000"/>
                <w:sz w:val="15"/>
              </w:rPr>
              <w:t>(high-low)/last_close</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high &gt;= low and close &gt; 0</w:t>
            </w:r>
          </w:p>
        </w:tc>
        <w:tc>
          <w:tcPr>
            <w:tcW w:type="dxa" w:w="1249"/>
          </w:tcPr>
          <w:p>
            <w:pPr>
              <w:spacing w:after="0"/>
            </w:pPr>
            <w:r>
              <w:rPr>
                <w:rFonts w:ascii="Calibri" w:hAnsi="Calibri"/>
                <w:b w:val="0"/>
                <w:i w:val="0"/>
                <w:color w:val="000000"/>
                <w:sz w:val="15"/>
              </w:rPr>
              <w:t>RISK_AND_STABILITY</w:t>
            </w:r>
          </w:p>
        </w:tc>
        <w:tc>
          <w:tcPr>
            <w:tcW w:type="dxa" w:w="1249"/>
          </w:tcPr>
          <w:p>
            <w:pPr>
              <w:spacing w:after="0"/>
            </w:pPr>
            <w:r>
              <w:rPr>
                <w:rFonts w:ascii="Calibri" w:hAnsi="Calibri"/>
                <w:b w:val="0"/>
                <w:i w:val="0"/>
                <w:color w:val="000000"/>
                <w:sz w:val="15"/>
              </w:rPr>
              <w:t>lower_better</w:t>
            </w:r>
          </w:p>
        </w:tc>
        <w:tc>
          <w:tcPr>
            <w:tcW w:type="dxa" w:w="1249"/>
          </w:tcPr>
          <w:p>
            <w:pPr>
              <w:spacing w:after="0"/>
            </w:pPr>
            <w:r>
              <w:rPr>
                <w:rFonts w:ascii="Calibri" w:hAnsi="Calibri"/>
                <w:b w:val="0"/>
                <w:i w:val="0"/>
                <w:color w:val="000000"/>
                <w:sz w:val="15"/>
              </w:rPr>
              <w:t>market_risk</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target_price_upside</w:t>
            </w:r>
          </w:p>
        </w:tc>
        <w:tc>
          <w:tcPr>
            <w:tcW w:type="dxa" w:w="1249"/>
          </w:tcPr>
          <w:p>
            <w:pPr>
              <w:spacing w:after="0"/>
            </w:pPr>
            <w:r>
              <w:rPr>
                <w:rFonts w:ascii="Calibri" w:hAnsi="Calibri"/>
                <w:b w:val="0"/>
                <w:i w:val="0"/>
                <w:color w:val="000000"/>
                <w:sz w:val="15"/>
              </w:rPr>
              <w:t>target/close-1</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both &gt; 0</w:t>
            </w:r>
          </w:p>
        </w:tc>
        <w:tc>
          <w:tcPr>
            <w:tcW w:type="dxa" w:w="1249"/>
          </w:tcPr>
          <w:p>
            <w:pPr>
              <w:spacing w:after="0"/>
            </w:pPr>
            <w:r>
              <w:rPr>
                <w:rFonts w:ascii="Calibri" w:hAnsi="Calibri"/>
                <w:b w:val="0"/>
                <w:i w:val="0"/>
                <w:color w:val="000000"/>
                <w:sz w:val="15"/>
              </w:rPr>
              <w:t>BROKER_AND_TARGET</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target_upside</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net_rating_balance</w:t>
            </w:r>
          </w:p>
        </w:tc>
        <w:tc>
          <w:tcPr>
            <w:tcW w:type="dxa" w:w="1249"/>
          </w:tcPr>
          <w:p>
            <w:pPr>
              <w:spacing w:after="0"/>
            </w:pPr>
            <w:r>
              <w:rPr>
                <w:rFonts w:ascii="Calibri" w:hAnsi="Calibri"/>
                <w:b w:val="0"/>
                <w:i w:val="0"/>
                <w:color w:val="000000"/>
                <w:sz w:val="15"/>
              </w:rPr>
              <w:t>bullish_pct/100-bearish_pct/100</w:t>
            </w:r>
          </w:p>
        </w:tc>
        <w:tc>
          <w:tcPr>
            <w:tcW w:type="dxa" w:w="1249"/>
          </w:tcPr>
          <w:p>
            <w:pPr>
              <w:spacing w:after="0"/>
            </w:pPr>
            <w:r>
              <w:rPr>
                <w:rFonts w:ascii="Calibri" w:hAnsi="Calibri"/>
                <w:b w:val="0"/>
                <w:i w:val="0"/>
                <w:color w:val="000000"/>
                <w:sz w:val="15"/>
              </w:rPr>
              <w:t>decimal</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BROKER_AND_TARGET</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broker_rating</w:t>
            </w:r>
          </w:p>
        </w:tc>
        <w:tc>
          <w:tcPr>
            <w:tcW w:type="dxa" w:w="1249"/>
          </w:tcPr>
          <w:p>
            <w:pPr>
              <w:spacing w:after="0"/>
            </w:pPr>
            <w:r>
              <w:rPr>
                <w:rFonts w:ascii="Calibri" w:hAnsi="Calibri"/>
                <w:b w:val="0"/>
                <w:i w:val="0"/>
                <w:color w:val="000000"/>
                <w:sz w:val="15"/>
              </w:rPr>
              <w:t>Scored</w:t>
            </w:r>
          </w:p>
        </w:tc>
      </w:tr>
      <w:tr>
        <w:trPr>
          <w:cantSplit/>
        </w:trPr>
        <w:tc>
          <w:tcPr>
            <w:tcW w:type="dxa" w:w="1249"/>
          </w:tcPr>
          <w:p>
            <w:pPr>
              <w:spacing w:after="0"/>
            </w:pPr>
            <w:r>
              <w:rPr>
                <w:rFonts w:ascii="Calibri" w:hAnsi="Calibri"/>
                <w:b w:val="0"/>
                <w:i w:val="0"/>
                <w:color w:val="000000"/>
                <w:sz w:val="15"/>
              </w:rPr>
              <w:t>upgrade_downgrade_count_balance</w:t>
            </w:r>
          </w:p>
        </w:tc>
        <w:tc>
          <w:tcPr>
            <w:tcW w:type="dxa" w:w="1249"/>
          </w:tcPr>
          <w:p>
            <w:pPr>
              <w:spacing w:after="0"/>
            </w:pPr>
            <w:r>
              <w:rPr>
                <w:rFonts w:ascii="Calibri" w:hAnsi="Calibri"/>
                <w:b w:val="0"/>
                <w:i w:val="0"/>
                <w:color w:val="000000"/>
                <w:sz w:val="15"/>
              </w:rPr>
              <w:t>(upgrades-downgrades)/max(brokers,1)</w:t>
            </w:r>
          </w:p>
        </w:tc>
        <w:tc>
          <w:tcPr>
            <w:tcW w:type="dxa" w:w="1249"/>
          </w:tcPr>
          <w:p>
            <w:pPr>
              <w:spacing w:after="0"/>
            </w:pPr>
            <w:r>
              <w:rPr>
                <w:rFonts w:ascii="Calibri" w:hAnsi="Calibri"/>
                <w:b w:val="0"/>
                <w:i w:val="0"/>
                <w:color w:val="000000"/>
                <w:sz w:val="15"/>
              </w:rPr>
              <w:t>ratio</w:t>
            </w:r>
          </w:p>
        </w:tc>
        <w:tc>
          <w:tcPr>
            <w:tcW w:type="dxa" w:w="1249"/>
          </w:tcPr>
          <w:p>
            <w:pPr>
              <w:spacing w:after="0"/>
            </w:pPr>
            <w:r>
              <w:rPr>
                <w:rFonts w:ascii="Calibri" w:hAnsi="Calibri"/>
                <w:b w:val="0"/>
                <w:i w:val="0"/>
                <w:color w:val="000000"/>
                <w:sz w:val="15"/>
              </w:rPr>
              <w:t>finite</w:t>
            </w:r>
          </w:p>
        </w:tc>
        <w:tc>
          <w:tcPr>
            <w:tcW w:type="dxa" w:w="1249"/>
          </w:tcPr>
          <w:p>
            <w:pPr>
              <w:spacing w:after="0"/>
            </w:pPr>
            <w:r>
              <w:rPr>
                <w:rFonts w:ascii="Calibri" w:hAnsi="Calibri"/>
                <w:b w:val="0"/>
                <w:i w:val="0"/>
                <w:color w:val="000000"/>
                <w:sz w:val="15"/>
              </w:rPr>
              <w:t>BROKER_AND_TARGET</w:t>
            </w:r>
          </w:p>
        </w:tc>
        <w:tc>
          <w:tcPr>
            <w:tcW w:type="dxa" w:w="1249"/>
          </w:tcPr>
          <w:p>
            <w:pPr>
              <w:spacing w:after="0"/>
            </w:pPr>
            <w:r>
              <w:rPr>
                <w:rFonts w:ascii="Calibri" w:hAnsi="Calibri"/>
                <w:b w:val="0"/>
                <w:i w:val="0"/>
                <w:color w:val="000000"/>
                <w:sz w:val="15"/>
              </w:rPr>
              <w:t>higher_better</w:t>
            </w:r>
          </w:p>
        </w:tc>
        <w:tc>
          <w:tcPr>
            <w:tcW w:type="dxa" w:w="1249"/>
          </w:tcPr>
          <w:p>
            <w:pPr>
              <w:spacing w:after="0"/>
            </w:pPr>
            <w:r>
              <w:rPr>
                <w:rFonts w:ascii="Calibri" w:hAnsi="Calibri"/>
                <w:b w:val="0"/>
                <w:i w:val="0"/>
                <w:color w:val="000000"/>
                <w:sz w:val="15"/>
              </w:rPr>
              <w:t>rating_revision</w:t>
            </w:r>
          </w:p>
        </w:tc>
        <w:tc>
          <w:tcPr>
            <w:tcW w:type="dxa" w:w="1249"/>
          </w:tcPr>
          <w:p>
            <w:pPr>
              <w:spacing w:after="0"/>
            </w:pPr>
            <w:r>
              <w:rPr>
                <w:rFonts w:ascii="Calibri" w:hAnsi="Calibri"/>
                <w:b w:val="0"/>
                <w:i w:val="0"/>
                <w:color w:val="000000"/>
                <w:sz w:val="15"/>
              </w:rPr>
              <w:t>Scored</w:t>
            </w:r>
          </w:p>
        </w:tc>
      </w:tr>
    </w:tbl>
    <w:p>
      <w:pPr>
        <w:spacing w:after="20"/>
      </w:pPr>
    </w:p>
    <w:p>
      <w:pPr>
        <w:pStyle w:val="Heading2"/>
      </w:pPr>
      <w:r>
        <w:t>6.1 Additional constructed fields</w:t>
      </w:r>
    </w:p>
    <w:p>
      <w:pPr>
        <w:keepLines/>
        <w:spacing w:after="80"/>
        <w:jc w:val="center"/>
      </w:pPr>
      <w:r>
        <w:rPr>
          <w:rFonts w:ascii="Calibri" w:hAnsi="Calibri"/>
          <w:b w:val="0"/>
          <w:i/>
          <w:color w:val="1F1F1F"/>
          <w:sz w:val="19"/>
        </w:rPr>
        <w:t>EG2 growth (%) = (F2 consensus EPS / F1 consensus EPS − 1) × 100</w:t>
      </w:r>
    </w:p>
    <w:p>
      <w:pPr>
        <w:spacing w:after="80" w:line="259" w:lineRule="auto"/>
      </w:pPr>
      <w:r>
        <w:rPr>
          <w:rFonts w:ascii="Calibri" w:hAnsi="Calibri"/>
          <w:b w:val="0"/>
          <w:i w:val="0"/>
          <w:color w:val="000000"/>
          <w:sz w:val="19"/>
        </w:rPr>
        <w:t>By default both consensus EPS values must be positive. This prevents sign flips around losses from being interpreted as ordinary percentage growth. The program records a reason when the value is unavailable.</w:t>
      </w:r>
    </w:p>
    <w:p>
      <w:pPr>
        <w:keepLines/>
        <w:spacing w:after="80"/>
        <w:jc w:val="center"/>
      </w:pPr>
      <w:r>
        <w:rPr>
          <w:rFonts w:ascii="Calibri" w:hAnsi="Calibri"/>
          <w:b w:val="0"/>
          <w:i/>
          <w:color w:val="1F1F1F"/>
          <w:sz w:val="19"/>
        </w:rPr>
        <w:t>EPS growth acceleration = EG2 growth − EG1 growth</w:t>
      </w:r>
    </w:p>
    <w:p>
      <w:pPr>
        <w:keepLines/>
        <w:spacing w:after="80"/>
        <w:jc w:val="center"/>
      </w:pPr>
      <w:r>
        <w:rPr>
          <w:rFonts w:ascii="Calibri" w:hAnsi="Calibri"/>
          <w:b w:val="0"/>
          <w:i/>
          <w:color w:val="1F1F1F"/>
          <w:sz w:val="19"/>
        </w:rPr>
        <w:t>Book/price divergence = |Last Close − Book Value per Share| / |Last Close|</w:t>
      </w:r>
    </w:p>
    <w:p>
      <w:pPr>
        <w:keepLines/>
        <w:spacing w:after="80"/>
        <w:jc w:val="center"/>
      </w:pPr>
      <w:r>
        <w:rPr>
          <w:rFonts w:ascii="Calibri" w:hAnsi="Calibri"/>
          <w:b w:val="0"/>
          <w:i/>
          <w:color w:val="1F1F1F"/>
          <w:sz w:val="19"/>
        </w:rPr>
        <w:t>Reconstructed P/B = Last Close / Book Value per Share</w:t>
      </w:r>
    </w:p>
    <w:p>
      <w:pPr>
        <w:keepLines/>
        <w:spacing w:after="80"/>
        <w:jc w:val="center"/>
      </w:pPr>
      <w:r>
        <w:rPr>
          <w:rFonts w:ascii="Calibri" w:hAnsi="Calibri"/>
          <w:b w:val="0"/>
          <w:i/>
          <w:color w:val="1F1F1F"/>
          <w:sz w:val="19"/>
        </w:rPr>
        <w:t>Market capitalisation per share = Market Cap / Shares Outstanding</w:t>
      </w:r>
    </w:p>
    <w:p>
      <w:pPr>
        <w:spacing w:after="80" w:line="259" w:lineRule="auto"/>
      </w:pPr>
      <w:r>
        <w:rPr>
          <w:rFonts w:ascii="Calibri" w:hAnsi="Calibri"/>
          <w:b w:val="0"/>
          <w:i w:val="0"/>
          <w:color w:val="000000"/>
          <w:sz w:val="19"/>
        </w:rPr>
        <w:t>Book/price divergence and reconstructed P/B require positive price and book value. Market-cap-per-share requires positive shares outstanding. Optionability is converted into a known true/false/unknown implementation flag and a feasibility note; it does not create alpha evidence.</w:t>
      </w:r>
    </w:p>
    <w:p>
      <w:pPr>
        <w:pStyle w:val="Heading1"/>
      </w:pPr>
      <w:r>
        <w:t>7. Peer-family construction: why industries and sectors are blended</w:t>
      </w:r>
    </w:p>
    <w:p>
      <w:pPr>
        <w:spacing w:after="80" w:line="259" w:lineRule="auto"/>
      </w:pPr>
      <w:r>
        <w:rPr>
          <w:rFonts w:ascii="Calibri" w:hAnsi="Calibri"/>
          <w:b w:val="0"/>
          <w:i w:val="0"/>
          <w:color w:val="000000"/>
          <w:sz w:val="19"/>
        </w:rPr>
        <w:t>Financial ratios are structurally different across industries. The system therefore avoids comparing all US stocks as one population. Each factor has its own industry and sector statistics because the number of valid observations differs by factor. A company may belong to an industry with many members but still have a small effective peer sample for a sparsely reported factor.</w:t>
      </w:r>
    </w:p>
    <w:p>
      <w:pPr>
        <w:spacing w:after="80" w:line="259" w:lineRule="auto"/>
      </w:pPr>
      <w:r>
        <w:rPr>
          <w:rFonts w:ascii="Calibri" w:hAnsi="Calibri"/>
          <w:b w:val="0"/>
          <w:i w:val="0"/>
          <w:color w:val="000000"/>
          <w:sz w:val="19"/>
        </w:rPr>
        <w:t>Pure industry statistics can be unstable for small groups. Pure sector statistics can erase genuine industry structure. The model uses continuous empirical shrinkage: a small industry receives more sector influence and a large industry receives more industry influence. There is no abrupt switch at an arbitrary industry count and no whole-US fallback.</w:t>
      </w:r>
    </w:p>
    <w:p>
      <w:pPr>
        <w:pStyle w:val="Heading2"/>
      </w:pPr>
      <w:r>
        <w:t>7.1 Factor-specific sample sizes</w:t>
      </w:r>
    </w:p>
    <w:p>
      <w:pPr>
        <w:keepLines/>
        <w:spacing w:after="80"/>
        <w:jc w:val="center"/>
      </w:pPr>
      <w:r>
        <w:rPr>
          <w:rFonts w:ascii="Calibri" w:hAnsi="Calibri"/>
          <w:b w:val="0"/>
          <w:i/>
          <w:color w:val="1F1F1F"/>
          <w:sz w:val="19"/>
        </w:rPr>
        <w:t>nᵢ = number of valid observations for this factor in the stock’s industry</w:t>
      </w:r>
    </w:p>
    <w:p>
      <w:pPr>
        <w:keepLines/>
        <w:spacing w:after="80"/>
        <w:jc w:val="center"/>
      </w:pPr>
      <w:r>
        <w:rPr>
          <w:rFonts w:ascii="Calibri" w:hAnsi="Calibri"/>
          <w:b w:val="0"/>
          <w:i/>
          <w:color w:val="1F1F1F"/>
          <w:sz w:val="19"/>
        </w:rPr>
        <w:t>nₛ = number of valid observations for this factor in the stock’s sector</w:t>
      </w:r>
    </w:p>
    <w:p>
      <w:pPr>
        <w:spacing w:after="80" w:line="259" w:lineRule="auto"/>
      </w:pPr>
      <w:r>
        <w:rPr>
          <w:rFonts w:ascii="Calibri" w:hAnsi="Calibri"/>
          <w:b w:val="0"/>
          <w:i w:val="0"/>
          <w:color w:val="000000"/>
          <w:sz w:val="19"/>
        </w:rPr>
        <w:t>The factor is unavailable when the sector has fewer than MIN_VALID_FACTOR_OBSERVATIONS; the current value is shown in the recorded Control Panel section.</w:t>
      </w:r>
    </w:p>
    <w:p>
      <w:pPr>
        <w:pStyle w:val="Heading2"/>
      </w:pPr>
      <w:r>
        <w:t>7.2 Shrinkage weight</w:t>
      </w:r>
    </w:p>
    <w:p>
      <w:pPr>
        <w:keepLines/>
        <w:spacing w:after="80"/>
        <w:jc w:val="center"/>
      </w:pPr>
      <w:r>
        <w:rPr>
          <w:rFonts w:ascii="Calibri" w:hAnsi="Calibri"/>
          <w:b w:val="0"/>
          <w:i/>
          <w:color w:val="1F1F1F"/>
          <w:sz w:val="19"/>
        </w:rPr>
        <w:t>w = nᵢ / (nᵢ + k)</w:t>
      </w:r>
    </w:p>
    <w:p>
      <w:pPr>
        <w:spacing w:after="80" w:line="259" w:lineRule="auto"/>
      </w:pPr>
      <w:r>
        <w:rPr>
          <w:rFonts w:ascii="Calibri" w:hAnsi="Calibri"/>
          <w:b w:val="0"/>
          <w:i w:val="0"/>
          <w:color w:val="000000"/>
          <w:sz w:val="19"/>
        </w:rPr>
        <w:t>k is the shrinkage strength and is governed by the Control Panel. A higher k increases sector influence. At k=0, the industry receives full weight wherever it has observations.</w:t>
      </w:r>
    </w:p>
    <w:p>
      <w:pPr>
        <w:pStyle w:val="Heading2"/>
      </w:pPr>
      <w:r>
        <w:t>7.3 Blended location</w:t>
      </w:r>
    </w:p>
    <w:p>
      <w:pPr>
        <w:keepLines/>
        <w:spacing w:after="80"/>
        <w:jc w:val="center"/>
      </w:pPr>
      <w:r>
        <w:rPr>
          <w:rFonts w:ascii="Calibri" w:hAnsi="Calibri"/>
          <w:b w:val="0"/>
          <w:i/>
          <w:color w:val="1F1F1F"/>
          <w:sz w:val="19"/>
        </w:rPr>
        <w:t>μ = w μᵢ + (1 − w) μₛ</w:t>
      </w:r>
    </w:p>
    <w:p>
      <w:pPr>
        <w:spacing w:after="80" w:line="259" w:lineRule="auto"/>
      </w:pPr>
      <w:r>
        <w:rPr>
          <w:rFonts w:ascii="Calibri" w:hAnsi="Calibri"/>
          <w:b w:val="0"/>
          <w:i w:val="0"/>
          <w:color w:val="000000"/>
          <w:sz w:val="19"/>
        </w:rPr>
        <w:t>μᵢ and μₛ are the factor’s industry and sector means. The same weight is used to blend the medians for robust diagnostics.</w:t>
      </w:r>
    </w:p>
    <w:p>
      <w:pPr>
        <w:pStyle w:val="Heading2"/>
      </w:pPr>
      <w:r>
        <w:t>7.4 Blended dispersion</w:t>
      </w:r>
    </w:p>
    <w:p>
      <w:pPr>
        <w:keepLines/>
        <w:spacing w:after="80"/>
        <w:jc w:val="center"/>
      </w:pPr>
      <w:r>
        <w:rPr>
          <w:rFonts w:ascii="Calibri" w:hAnsi="Calibri"/>
          <w:b w:val="0"/>
          <w:i/>
          <w:color w:val="1F1F1F"/>
          <w:sz w:val="19"/>
        </w:rPr>
        <w:t>σ² = w[σᵢ² + (μᵢ − μ)²] + (1 − w)[σₛ² + (μₛ − μ)²]</w:t>
      </w:r>
    </w:p>
    <w:p>
      <w:pPr>
        <w:keepLines/>
        <w:spacing w:after="80"/>
        <w:jc w:val="center"/>
      </w:pPr>
      <w:r>
        <w:rPr>
          <w:rFonts w:ascii="Calibri" w:hAnsi="Calibri"/>
          <w:b w:val="0"/>
          <w:i/>
          <w:color w:val="1F1F1F"/>
          <w:sz w:val="19"/>
        </w:rPr>
        <w:t>σ = √σ²</w:t>
      </w:r>
    </w:p>
    <w:p>
      <w:pPr>
        <w:spacing w:after="80" w:line="259" w:lineRule="auto"/>
      </w:pPr>
      <w:r>
        <w:rPr>
          <w:rFonts w:ascii="Calibri" w:hAnsi="Calibri"/>
          <w:b w:val="0"/>
          <w:i w:val="0"/>
          <w:color w:val="000000"/>
          <w:sz w:val="19"/>
        </w:rPr>
        <w:t>The variance is a mixture variance, not merely a weighted average of variances. The squared distance between each component mean and the blended mean preserves dispersion caused by different industry and sector centres. Component variances use the population convention, dividing by n rather than n−1. A zero or unavailable blended standard deviation makes the z-score unavailable because the peer population has no measurable dispersion.</w:t>
      </w:r>
    </w:p>
    <w:p>
      <w:pPr>
        <w:pStyle w:val="Heading2"/>
      </w:pPr>
      <w:r>
        <w:t>7.5 Standardised peer surprise</w:t>
      </w:r>
    </w:p>
    <w:p>
      <w:pPr>
        <w:keepLines/>
        <w:spacing w:after="80"/>
        <w:jc w:val="center"/>
      </w:pPr>
      <w:r>
        <w:rPr>
          <w:rFonts w:ascii="Calibri" w:hAnsi="Calibri"/>
          <w:b w:val="0"/>
          <w:i/>
          <w:color w:val="1F1F1F"/>
          <w:sz w:val="19"/>
        </w:rPr>
        <w:t>z = (x − μ) / σ</w:t>
      </w:r>
    </w:p>
    <w:p>
      <w:pPr>
        <w:spacing w:after="80" w:line="259" w:lineRule="auto"/>
      </w:pPr>
      <w:r>
        <w:rPr>
          <w:rFonts w:ascii="Calibri" w:hAnsi="Calibri"/>
          <w:b w:val="0"/>
          <w:i w:val="0"/>
          <w:color w:val="000000"/>
          <w:sz w:val="19"/>
        </w:rPr>
        <w:t>z measures how many blended standard deviations the stock lies above or below its peer expectation. Positive z is statistically high; negative z is statistically low. Economic desirability is handled later, because high leverage and high profitability have opposite meanings.</w:t>
      </w:r>
    </w:p>
    <w:p>
      <w:pPr>
        <w:pStyle w:val="Heading2"/>
      </w:pPr>
      <w:r>
        <w:t>7.6 Capped linear peer score</w:t>
      </w:r>
    </w:p>
    <w:p>
      <w:pPr>
        <w:keepLines/>
        <w:spacing w:after="80"/>
        <w:jc w:val="center"/>
      </w:pPr>
      <w:r>
        <w:rPr>
          <w:rFonts w:ascii="Calibri" w:hAnsi="Calibri"/>
          <w:b w:val="0"/>
          <w:i/>
          <w:color w:val="1F1F1F"/>
          <w:sz w:val="19"/>
        </w:rPr>
        <w:t>P = clip[50 + 50 × clip(z, −c, c) / c, 0, 100]</w:t>
      </w:r>
    </w:p>
    <w:p>
      <w:pPr>
        <w:spacing w:after="80" w:line="259" w:lineRule="auto"/>
      </w:pPr>
      <w:r>
        <w:rPr>
          <w:rFonts w:ascii="Calibri" w:hAnsi="Calibri"/>
          <w:b w:val="0"/>
          <w:i w:val="0"/>
          <w:color w:val="000000"/>
          <w:sz w:val="19"/>
        </w:rPr>
        <w:t>P=50 is the blended peer mean. The current cap c is governed by the Control Panel; observations at or beyond either cap map to 100 or 0. The cap limits score influence but does not change or winsorise the underlying source observation.</w:t>
      </w:r>
    </w:p>
    <w:p>
      <w:pPr>
        <w:pStyle w:val="Heading2"/>
      </w:pPr>
      <w:r>
        <w:t>7.7 Percentile and robust diagnostics</w:t>
      </w:r>
    </w:p>
    <w:p>
      <w:pPr>
        <w:keepLines/>
        <w:spacing w:after="80"/>
        <w:jc w:val="center"/>
      </w:pPr>
      <w:r>
        <w:rPr>
          <w:rFonts w:ascii="Calibri" w:hAnsi="Calibri"/>
          <w:b w:val="0"/>
          <w:i/>
          <w:color w:val="1F1F1F"/>
          <w:sz w:val="19"/>
        </w:rPr>
        <w:t>Tie-aware percentile = (average rank − 1) / (n − 1) × 100</w:t>
      </w:r>
    </w:p>
    <w:p>
      <w:pPr>
        <w:spacing w:after="80" w:line="259" w:lineRule="auto"/>
      </w:pPr>
      <w:r>
        <w:rPr>
          <w:rFonts w:ascii="Calibri" w:hAnsi="Calibri"/>
          <w:b w:val="0"/>
          <w:i w:val="0"/>
          <w:color w:val="000000"/>
          <w:sz w:val="19"/>
        </w:rPr>
        <w:t>The endpoints are 0 and 100. A one-observation group is assigned percentile 50. Industry and sector percentiles are calculated separately, then blended with the same industry weight.</w:t>
      </w:r>
    </w:p>
    <w:p>
      <w:pPr>
        <w:keepLines/>
        <w:spacing w:after="80"/>
        <w:jc w:val="center"/>
      </w:pPr>
      <w:r>
        <w:rPr>
          <w:rFonts w:ascii="Calibri" w:hAnsi="Calibri"/>
          <w:b w:val="0"/>
          <w:i/>
          <w:color w:val="1F1F1F"/>
          <w:sz w:val="19"/>
        </w:rPr>
        <w:t>Robust z = 0.6745 × (x − blended median) / blended MAD</w:t>
      </w:r>
    </w:p>
    <w:p>
      <w:pPr>
        <w:spacing w:after="80" w:line="259" w:lineRule="auto"/>
      </w:pPr>
      <w:r>
        <w:rPr>
          <w:rFonts w:ascii="Calibri" w:hAnsi="Calibri"/>
          <w:b w:val="0"/>
          <w:i w:val="0"/>
          <w:color w:val="000000"/>
          <w:sz w:val="19"/>
        </w:rPr>
        <w:t>MAD is the median absolute deviation. The factor 0.6745 makes the robust score comparable with an ordinary z-score under a normal distribution. Robust z, medians and percentiles remain visible audit diagnostics.</w:t>
      </w:r>
    </w:p>
    <w:p>
      <w:pPr>
        <w:pStyle w:val="Heading2"/>
      </w:pPr>
      <w:r>
        <w:t>7.8 Stored peer diagnostics</w:t>
      </w:r>
    </w:p>
    <w:p>
      <w:pPr>
        <w:spacing w:after="80" w:line="259" w:lineRule="auto"/>
      </w:pPr>
      <w:r>
        <w:rPr>
          <w:rFonts w:ascii="Calibri" w:hAnsi="Calibri"/>
          <w:b w:val="0"/>
          <w:i w:val="0"/>
          <w:color w:val="000000"/>
          <w:sz w:val="19"/>
        </w:rPr>
        <w:t>For every enriched factor, the audit table stores comparison-group description, industry and sector valid counts, industry weight, blended mean, median, standard deviation and MAD, separate and blended percentiles, ordinary and robust z-scores, 0–100 peer score, absolute differences from mean/median, ratios to mean/median, and percentage difference from the mean. These fields make each factor score independently reconstructable.</w:t>
      </w:r>
    </w:p>
    <w:p>
      <w:pPr>
        <w:pStyle w:val="Heading1"/>
      </w:pPr>
      <w:r>
        <w:t>8. Direction: turning statistical rank into long and short evidence</w:t>
      </w:r>
    </w:p>
    <w:p>
      <w:pPr>
        <w:keepLines/>
        <w:spacing w:after="80"/>
        <w:jc w:val="center"/>
      </w:pPr>
      <w:r>
        <w:rPr>
          <w:rFonts w:ascii="Calibri" w:hAnsi="Calibri"/>
          <w:b w:val="0"/>
          <w:i/>
          <w:color w:val="1F1F1F"/>
          <w:sz w:val="19"/>
        </w:rPr>
        <w:t>Higher-is-better factor: Long evidence = P; Short evidence = 100 − P</w:t>
      </w:r>
    </w:p>
    <w:p>
      <w:pPr>
        <w:keepLines/>
        <w:spacing w:after="80"/>
        <w:jc w:val="center"/>
      </w:pPr>
      <w:r>
        <w:rPr>
          <w:rFonts w:ascii="Calibri" w:hAnsi="Calibri"/>
          <w:b w:val="0"/>
          <w:i/>
          <w:color w:val="1F1F1F"/>
          <w:sz w:val="19"/>
        </w:rPr>
        <w:t>Lower-is-better factor: Long evidence = 100 − P; Short evidence = P</w:t>
      </w:r>
    </w:p>
    <w:p>
      <w:pPr>
        <w:spacing w:after="80" w:line="259" w:lineRule="auto"/>
      </w:pPr>
      <w:r>
        <w:rPr>
          <w:rFonts w:ascii="Calibri" w:hAnsi="Calibri"/>
          <w:b w:val="0"/>
          <w:i w:val="0"/>
          <w:color w:val="000000"/>
          <w:sz w:val="19"/>
        </w:rPr>
        <w:t>For an available factor, long and short evidence sum to 100. A value above 50 supports that direction, below 50 opposes it, and exactly 50 is neutral. The factor registry—not the sign of z alone—defines the economic meaning.</w:t>
      </w:r>
    </w:p>
    <w:p>
      <w:pPr>
        <w:spacing w:after="80" w:line="259" w:lineRule="auto"/>
      </w:pPr>
      <w:r>
        <w:rPr>
          <w:rFonts w:ascii="Calibri" w:hAnsi="Calibri"/>
          <w:b w:val="0"/>
          <w:i w:val="0"/>
          <w:color w:val="000000"/>
          <w:sz w:val="19"/>
        </w:rPr>
        <w:t>Target-range and two-sided-risk features are not forced into a one-sided rule. Confidence-only variables are retained for diagnostics. This prevents the system from making unsupported claims such as ‘the highest current ratio is always best’ or ‘beta furthest from one is always bullish or bearish.’</w:t>
      </w:r>
    </w:p>
    <w:p>
      <w:pPr>
        <w:pStyle w:val="Heading1"/>
      </w:pPr>
      <w:r>
        <w:t>9. Complete active raw-factor registry</w:t>
      </w:r>
    </w:p>
    <w:tbl>
      <w:tblPr>
        <w:tblStyle w:val="TableGrid"/>
        <w:tblW w:type="auto" w:w="0"/>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D9EAF7"/>
          </w:tcPr>
          <w:p>
            <w:r>
              <w:rPr>
                <w:rFonts w:ascii="Calibri" w:hAnsi="Calibri"/>
                <w:b/>
                <w:i w:val="0"/>
                <w:color w:val="000000"/>
                <w:sz w:val="16"/>
              </w:rPr>
              <w:t>Source factor</w:t>
            </w:r>
          </w:p>
        </w:tc>
        <w:tc>
          <w:tcPr>
            <w:tcW w:type="dxa" w:w="1999"/>
            <w:shd w:fill="D9EAF7"/>
          </w:tcPr>
          <w:p>
            <w:r>
              <w:rPr>
                <w:rFonts w:ascii="Calibri" w:hAnsi="Calibri"/>
                <w:b/>
                <w:i w:val="0"/>
                <w:color w:val="000000"/>
                <w:sz w:val="16"/>
              </w:rPr>
              <w:t>Family</w:t>
            </w:r>
          </w:p>
        </w:tc>
        <w:tc>
          <w:tcPr>
            <w:tcW w:type="dxa" w:w="1999"/>
            <w:shd w:fill="D9EAF7"/>
          </w:tcPr>
          <w:p>
            <w:r>
              <w:rPr>
                <w:rFonts w:ascii="Calibri" w:hAnsi="Calibri"/>
                <w:b/>
                <w:i w:val="0"/>
                <w:color w:val="000000"/>
                <w:sz w:val="16"/>
              </w:rPr>
              <w:t>Direction</w:t>
            </w:r>
          </w:p>
        </w:tc>
        <w:tc>
          <w:tcPr>
            <w:tcW w:type="dxa" w:w="1999"/>
            <w:shd w:fill="D9EAF7"/>
          </w:tcPr>
          <w:p>
            <w:r>
              <w:rPr>
                <w:rFonts w:ascii="Calibri" w:hAnsi="Calibri"/>
                <w:b/>
                <w:i w:val="0"/>
                <w:color w:val="000000"/>
                <w:sz w:val="16"/>
              </w:rPr>
              <w:t>Duplicate group</w:t>
            </w:r>
          </w:p>
        </w:tc>
        <w:tc>
          <w:tcPr>
            <w:tcW w:type="dxa" w:w="1999"/>
            <w:shd w:fill="D9EAF7"/>
          </w:tcPr>
          <w:p>
            <w:r>
              <w:rPr>
                <w:rFonts w:ascii="Calibri" w:hAnsi="Calibri"/>
                <w:b/>
                <w:i w:val="0"/>
                <w:color w:val="000000"/>
                <w:sz w:val="16"/>
              </w:rPr>
              <w:t>Treatment</w:t>
            </w:r>
          </w:p>
        </w:tc>
      </w:tr>
      <w:tr>
        <w:trPr>
          <w:cantSplit/>
        </w:trPr>
        <w:tc>
          <w:tcPr>
            <w:tcW w:type="dxa" w:w="1999"/>
          </w:tcPr>
          <w:p>
            <w:pPr>
              <w:spacing w:after="0"/>
            </w:pPr>
            <w:r>
              <w:rPr>
                <w:rFonts w:ascii="Calibri" w:hAnsi="Calibri"/>
                <w:b w:val="0"/>
                <w:i w:val="0"/>
                <w:color w:val="000000"/>
                <w:sz w:val="15"/>
              </w:rPr>
              <w:t>PEG Ratio</w:t>
            </w:r>
          </w:p>
        </w:tc>
        <w:tc>
          <w:tcPr>
            <w:tcW w:type="dxa" w:w="1999"/>
          </w:tcPr>
          <w:p>
            <w:pPr>
              <w:spacing w:after="0"/>
            </w:pPr>
            <w:r>
              <w:rPr>
                <w:rFonts w:ascii="Calibri" w:hAnsi="Calibri"/>
                <w:b w:val="0"/>
                <w:i w:val="0"/>
                <w:color w:val="000000"/>
                <w:sz w:val="15"/>
              </w:rPr>
              <w:t>VALUATION</w:t>
            </w:r>
          </w:p>
        </w:tc>
        <w:tc>
          <w:tcPr>
            <w:tcW w:type="dxa" w:w="1999"/>
          </w:tcPr>
          <w:p>
            <w:pPr>
              <w:spacing w:after="0"/>
            </w:pPr>
            <w:r>
              <w:rPr>
                <w:rFonts w:ascii="Calibri" w:hAnsi="Calibri"/>
                <w:b w:val="0"/>
                <w:i w:val="0"/>
                <w:color w:val="000000"/>
                <w:sz w:val="15"/>
              </w:rPr>
              <w:t>lower_better</w:t>
            </w:r>
          </w:p>
        </w:tc>
        <w:tc>
          <w:tcPr>
            <w:tcW w:type="dxa" w:w="1999"/>
          </w:tcPr>
          <w:p>
            <w:pPr>
              <w:spacing w:after="0"/>
            </w:pPr>
            <w:r>
              <w:rPr>
                <w:rFonts w:ascii="Calibri" w:hAnsi="Calibri"/>
                <w:b w:val="0"/>
                <w:i w:val="0"/>
                <w:color w:val="000000"/>
                <w:sz w:val="15"/>
              </w:rPr>
              <w:t>growth_adjusted_value</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This Yr`s Est.d Growth (F(1)/F(0))</w:t>
            </w:r>
          </w:p>
        </w:tc>
        <w:tc>
          <w:tcPr>
            <w:tcW w:type="dxa" w:w="1999"/>
          </w:tcPr>
          <w:p>
            <w:pPr>
              <w:spacing w:after="0"/>
            </w:pPr>
            <w:r>
              <w:rPr>
                <w:rFonts w:ascii="Calibri" w:hAnsi="Calibri"/>
                <w:b w:val="0"/>
                <w:i w:val="0"/>
                <w:color w:val="000000"/>
                <w:sz w:val="15"/>
              </w:rPr>
              <w:t>GROWTH</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eps_growth</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eg2_growth_pct</w:t>
            </w:r>
          </w:p>
        </w:tc>
        <w:tc>
          <w:tcPr>
            <w:tcW w:type="dxa" w:w="1999"/>
          </w:tcPr>
          <w:p>
            <w:pPr>
              <w:spacing w:after="0"/>
            </w:pPr>
            <w:r>
              <w:rPr>
                <w:rFonts w:ascii="Calibri" w:hAnsi="Calibri"/>
                <w:b w:val="0"/>
                <w:i w:val="0"/>
                <w:color w:val="000000"/>
                <w:sz w:val="15"/>
              </w:rPr>
              <w:t>GROWTH</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eps_growth</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eps_growth_acceleration</w:t>
            </w:r>
          </w:p>
        </w:tc>
        <w:tc>
          <w:tcPr>
            <w:tcW w:type="dxa" w:w="1999"/>
          </w:tcPr>
          <w:p>
            <w:pPr>
              <w:spacing w:after="0"/>
            </w:pPr>
            <w:r>
              <w:rPr>
                <w:rFonts w:ascii="Calibri" w:hAnsi="Calibri"/>
                <w:b w:val="0"/>
                <w:i w:val="0"/>
                <w:color w:val="000000"/>
                <w:sz w:val="15"/>
              </w:rPr>
              <w:t>GROWTH</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growth_acceleration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Long-Term Growth Consensus Est.</w:t>
            </w:r>
          </w:p>
        </w:tc>
        <w:tc>
          <w:tcPr>
            <w:tcW w:type="dxa" w:w="1999"/>
          </w:tcPr>
          <w:p>
            <w:pPr>
              <w:spacing w:after="0"/>
            </w:pPr>
            <w:r>
              <w:rPr>
                <w:rFonts w:ascii="Calibri" w:hAnsi="Calibri"/>
                <w:b w:val="0"/>
                <w:i w:val="0"/>
                <w:color w:val="000000"/>
                <w:sz w:val="15"/>
              </w:rPr>
              <w:t>GROWTH</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eps_growth</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Sales Growth F(0)/F(-1)</w:t>
            </w:r>
          </w:p>
        </w:tc>
        <w:tc>
          <w:tcPr>
            <w:tcW w:type="dxa" w:w="1999"/>
          </w:tcPr>
          <w:p>
            <w:pPr>
              <w:spacing w:after="0"/>
            </w:pPr>
            <w:r>
              <w:rPr>
                <w:rFonts w:ascii="Calibri" w:hAnsi="Calibri"/>
                <w:b w:val="0"/>
                <w:i w:val="0"/>
                <w:color w:val="000000"/>
                <w:sz w:val="15"/>
              </w:rPr>
              <w:t>GROWTH</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sales_growth</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Current ROI (TTM)</w:t>
            </w:r>
          </w:p>
        </w:tc>
        <w:tc>
          <w:tcPr>
            <w:tcW w:type="dxa" w:w="1999"/>
          </w:tcPr>
          <w:p>
            <w:pPr>
              <w:spacing w:after="0"/>
            </w:pPr>
            <w:r>
              <w:rPr>
                <w:rFonts w:ascii="Calibri" w:hAnsi="Calibri"/>
                <w:b w:val="0"/>
                <w:i w:val="0"/>
                <w:color w:val="000000"/>
                <w:sz w:val="15"/>
              </w:rPr>
              <w:t>PROFITABILITY_AND_RETURNS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returns</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Current ROA (TTM)</w:t>
            </w:r>
          </w:p>
        </w:tc>
        <w:tc>
          <w:tcPr>
            <w:tcW w:type="dxa" w:w="1999"/>
          </w:tcPr>
          <w:p>
            <w:pPr>
              <w:spacing w:after="0"/>
            </w:pPr>
            <w:r>
              <w:rPr>
                <w:rFonts w:ascii="Calibri" w:hAnsi="Calibri"/>
                <w:b w:val="0"/>
                <w:i w:val="0"/>
                <w:color w:val="000000"/>
                <w:sz w:val="15"/>
              </w:rPr>
              <w:t>PROFITABILITY_AND_RETURNS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returns</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Net Margin %</w:t>
            </w:r>
          </w:p>
        </w:tc>
        <w:tc>
          <w:tcPr>
            <w:tcW w:type="dxa" w:w="1999"/>
          </w:tcPr>
          <w:p>
            <w:pPr>
              <w:spacing w:after="0"/>
            </w:pPr>
            <w:r>
              <w:rPr>
                <w:rFonts w:ascii="Calibri" w:hAnsi="Calibri"/>
                <w:b w:val="0"/>
                <w:i w:val="0"/>
                <w:color w:val="000000"/>
                <w:sz w:val="15"/>
              </w:rPr>
              <w:t>PROFITABILITY_AND_RETURNS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operating_margins</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Current Ratio</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target_range</w:t>
            </w:r>
          </w:p>
        </w:tc>
        <w:tc>
          <w:tcPr>
            <w:tcW w:type="dxa" w:w="1999"/>
          </w:tcPr>
          <w:p>
            <w:pPr>
              <w:spacing w:after="0"/>
            </w:pPr>
            <w:r>
              <w:rPr>
                <w:rFonts w:ascii="Calibri" w:hAnsi="Calibri"/>
                <w:b w:val="0"/>
                <w:i w:val="0"/>
                <w:color w:val="000000"/>
                <w:sz w:val="15"/>
              </w:rPr>
              <w:t>current_ratio</w:t>
            </w:r>
          </w:p>
        </w:tc>
        <w:tc>
          <w:tcPr>
            <w:tcW w:type="dxa" w:w="1999"/>
          </w:tcPr>
          <w:p>
            <w:pPr>
              <w:spacing w:after="0"/>
            </w:pPr>
            <w:r>
              <w:rPr>
                <w:rFonts w:ascii="Calibri" w:hAnsi="Calibri"/>
                <w:b w:val="0"/>
                <w:i w:val="0"/>
                <w:color w:val="000000"/>
                <w:sz w:val="15"/>
              </w:rPr>
              <w:t>Separate policy</w:t>
            </w:r>
          </w:p>
        </w:tc>
      </w:tr>
      <w:tr>
        <w:trPr>
          <w:cantSplit/>
        </w:trPr>
        <w:tc>
          <w:tcPr>
            <w:tcW w:type="dxa" w:w="1999"/>
          </w:tcPr>
          <w:p>
            <w:pPr>
              <w:spacing w:after="0"/>
            </w:pPr>
            <w:r>
              <w:rPr>
                <w:rFonts w:ascii="Calibri" w:hAnsi="Calibri"/>
                <w:b w:val="0"/>
                <w:i w:val="0"/>
                <w:color w:val="000000"/>
                <w:sz w:val="15"/>
              </w:rPr>
              <w:t>Quick Ratio</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target_range</w:t>
            </w:r>
          </w:p>
        </w:tc>
        <w:tc>
          <w:tcPr>
            <w:tcW w:type="dxa" w:w="1999"/>
          </w:tcPr>
          <w:p>
            <w:pPr>
              <w:spacing w:after="0"/>
            </w:pPr>
            <w:r>
              <w:rPr>
                <w:rFonts w:ascii="Calibri" w:hAnsi="Calibri"/>
                <w:b w:val="0"/>
                <w:i w:val="0"/>
                <w:color w:val="000000"/>
                <w:sz w:val="15"/>
              </w:rPr>
              <w:t>quick_ratio</w:t>
            </w:r>
          </w:p>
        </w:tc>
        <w:tc>
          <w:tcPr>
            <w:tcW w:type="dxa" w:w="1999"/>
          </w:tcPr>
          <w:p>
            <w:pPr>
              <w:spacing w:after="0"/>
            </w:pPr>
            <w:r>
              <w:rPr>
                <w:rFonts w:ascii="Calibri" w:hAnsi="Calibri"/>
                <w:b w:val="0"/>
                <w:i w:val="0"/>
                <w:color w:val="000000"/>
                <w:sz w:val="15"/>
              </w:rPr>
              <w:t>Separate policy</w:t>
            </w:r>
          </w:p>
        </w:tc>
      </w:tr>
      <w:tr>
        <w:trPr>
          <w:cantSplit/>
        </w:trPr>
        <w:tc>
          <w:tcPr>
            <w:tcW w:type="dxa" w:w="1999"/>
          </w:tcPr>
          <w:p>
            <w:pPr>
              <w:spacing w:after="0"/>
            </w:pPr>
            <w:r>
              <w:rPr>
                <w:rFonts w:ascii="Calibri" w:hAnsi="Calibri"/>
                <w:b w:val="0"/>
                <w:i w:val="0"/>
                <w:color w:val="000000"/>
                <w:sz w:val="15"/>
              </w:rPr>
              <w:t>Cash Ratio</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target_range</w:t>
            </w:r>
          </w:p>
        </w:tc>
        <w:tc>
          <w:tcPr>
            <w:tcW w:type="dxa" w:w="1999"/>
          </w:tcPr>
          <w:p>
            <w:pPr>
              <w:spacing w:after="0"/>
            </w:pPr>
            <w:r>
              <w:rPr>
                <w:rFonts w:ascii="Calibri" w:hAnsi="Calibri"/>
                <w:b w:val="0"/>
                <w:i w:val="0"/>
                <w:color w:val="000000"/>
                <w:sz w:val="15"/>
              </w:rPr>
              <w:t>cash_ratio</w:t>
            </w:r>
          </w:p>
        </w:tc>
        <w:tc>
          <w:tcPr>
            <w:tcW w:type="dxa" w:w="1999"/>
          </w:tcPr>
          <w:p>
            <w:pPr>
              <w:spacing w:after="0"/>
            </w:pPr>
            <w:r>
              <w:rPr>
                <w:rFonts w:ascii="Calibri" w:hAnsi="Calibri"/>
                <w:b w:val="0"/>
                <w:i w:val="0"/>
                <w:color w:val="000000"/>
                <w:sz w:val="15"/>
              </w:rPr>
              <w:t>Separate policy</w:t>
            </w:r>
          </w:p>
        </w:tc>
      </w:tr>
      <w:tr>
        <w:trPr>
          <w:cantSplit/>
        </w:trPr>
        <w:tc>
          <w:tcPr>
            <w:tcW w:type="dxa" w:w="1999"/>
          </w:tcPr>
          <w:p>
            <w:pPr>
              <w:spacing w:after="0"/>
            </w:pPr>
            <w:r>
              <w:rPr>
                <w:rFonts w:ascii="Calibri" w:hAnsi="Calibri"/>
                <w:b w:val="0"/>
                <w:i w:val="0"/>
                <w:color w:val="000000"/>
                <w:sz w:val="15"/>
              </w:rPr>
              <w:t>Turnover</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asset_efficiency</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Inventory Turnover</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inventory_efficiency</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Asset Utilization</w:t>
            </w:r>
          </w:p>
        </w:tc>
        <w:tc>
          <w:tcPr>
            <w:tcW w:type="dxa" w:w="1999"/>
          </w:tcPr>
          <w:p>
            <w:pPr>
              <w:spacing w:after="0"/>
            </w:pPr>
            <w:r>
              <w:rPr>
                <w:rFonts w:ascii="Calibri" w:hAnsi="Calibri"/>
                <w:b w:val="0"/>
                <w:i w:val="0"/>
                <w:color w:val="000000"/>
                <w:sz w:val="15"/>
              </w:rPr>
              <w:t>LIQUIDITY_AND_EFFICIENCY</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asset_efficiency</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Last EPS Surprise (%)</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eps_surprise</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Previous EPS Surprise (%)</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eps_surprise</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Avg EPS Surprise (Last 4 Qtrs)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eps_surprise</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F1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annual_estimate_revision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F2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annual_estimate_revision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Q0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quarterly_estimate_revision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Q1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quarterly_estimate_revision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Q2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quarterly_estimate_revision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Change LT Growth Est. (4 weeks)</w:t>
            </w:r>
          </w:p>
        </w:tc>
        <w:tc>
          <w:tcPr>
            <w:tcW w:type="dxa" w:w="1999"/>
          </w:tcPr>
          <w:p>
            <w:pPr>
              <w:spacing w:after="0"/>
            </w:pPr>
            <w:r>
              <w:rPr>
                <w:rFonts w:ascii="Calibri" w:hAnsi="Calibri"/>
                <w:b w:val="0"/>
                <w:i w:val="0"/>
                <w:color w:val="000000"/>
                <w:sz w:val="15"/>
              </w:rPr>
              <w:t>ESTIMATES_AND_REVISIONS</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long_term_estimate_revision</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Div. Yield %</w:t>
            </w:r>
          </w:p>
        </w:tc>
        <w:tc>
          <w:tcPr>
            <w:tcW w:type="dxa" w:w="1999"/>
          </w:tcPr>
          <w:p>
            <w:pPr>
              <w:spacing w:after="0"/>
            </w:pPr>
            <w:r>
              <w:rPr>
                <w:rFonts w:ascii="Calibri" w:hAnsi="Calibri"/>
                <w:b w:val="0"/>
                <w:i w:val="0"/>
                <w:color w:val="000000"/>
                <w:sz w:val="15"/>
              </w:rPr>
              <w:t>SHAREHOLDER_AND_YIELD</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dividend_yield</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Price Change (1 Week)</w:t>
            </w:r>
          </w:p>
        </w:tc>
        <w:tc>
          <w:tcPr>
            <w:tcW w:type="dxa" w:w="1999"/>
          </w:tcPr>
          <w:p>
            <w:pPr>
              <w:spacing w:after="0"/>
            </w:pPr>
            <w:r>
              <w:rPr>
                <w:rFonts w:ascii="Calibri" w:hAnsi="Calibri"/>
                <w:b w:val="0"/>
                <w:i w:val="0"/>
                <w:color w:val="000000"/>
                <w:sz w:val="15"/>
              </w:rPr>
              <w:t>MARKET_BEHAVIOUR</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return_short</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Price Change (4 Weeks)</w:t>
            </w:r>
          </w:p>
        </w:tc>
        <w:tc>
          <w:tcPr>
            <w:tcW w:type="dxa" w:w="1999"/>
          </w:tcPr>
          <w:p>
            <w:pPr>
              <w:spacing w:after="0"/>
            </w:pPr>
            <w:r>
              <w:rPr>
                <w:rFonts w:ascii="Calibri" w:hAnsi="Calibri"/>
                <w:b w:val="0"/>
                <w:i w:val="0"/>
                <w:color w:val="000000"/>
                <w:sz w:val="15"/>
              </w:rPr>
              <w:t>MARKET_BEHAVIOUR</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return_short</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Price Change (12 Weeks)</w:t>
            </w:r>
          </w:p>
        </w:tc>
        <w:tc>
          <w:tcPr>
            <w:tcW w:type="dxa" w:w="1999"/>
          </w:tcPr>
          <w:p>
            <w:pPr>
              <w:spacing w:after="0"/>
            </w:pPr>
            <w:r>
              <w:rPr>
                <w:rFonts w:ascii="Calibri" w:hAnsi="Calibri"/>
                <w:b w:val="0"/>
                <w:i w:val="0"/>
                <w:color w:val="000000"/>
                <w:sz w:val="15"/>
              </w:rPr>
              <w:t>MARKET_BEHAVIOUR</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return_medium</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 Price Change (YTD)</w:t>
            </w:r>
          </w:p>
        </w:tc>
        <w:tc>
          <w:tcPr>
            <w:tcW w:type="dxa" w:w="1999"/>
          </w:tcPr>
          <w:p>
            <w:pPr>
              <w:spacing w:after="0"/>
            </w:pPr>
            <w:r>
              <w:rPr>
                <w:rFonts w:ascii="Calibri" w:hAnsi="Calibri"/>
                <w:b w:val="0"/>
                <w:i w:val="0"/>
                <w:color w:val="000000"/>
                <w:sz w:val="15"/>
              </w:rPr>
              <w:t>MARKET_BEHAVIOUR</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return_medium</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Relative Price Change (YTD)</w:t>
            </w:r>
          </w:p>
        </w:tc>
        <w:tc>
          <w:tcPr>
            <w:tcW w:type="dxa" w:w="1999"/>
          </w:tcPr>
          <w:p>
            <w:pPr>
              <w:spacing w:after="0"/>
            </w:pPr>
            <w:r>
              <w:rPr>
                <w:rFonts w:ascii="Calibri" w:hAnsi="Calibri"/>
                <w:b w:val="0"/>
                <w:i w:val="0"/>
                <w:color w:val="000000"/>
                <w:sz w:val="15"/>
              </w:rPr>
              <w:t>MARKET_BEHAVIOUR</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return_medium</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Current Avg Broker Rec</w:t>
            </w:r>
          </w:p>
        </w:tc>
        <w:tc>
          <w:tcPr>
            <w:tcW w:type="dxa" w:w="1999"/>
          </w:tcPr>
          <w:p>
            <w:pPr>
              <w:spacing w:after="0"/>
            </w:pPr>
            <w:r>
              <w:rPr>
                <w:rFonts w:ascii="Calibri" w:hAnsi="Calibri"/>
                <w:b w:val="0"/>
                <w:i w:val="0"/>
                <w:color w:val="000000"/>
                <w:sz w:val="15"/>
              </w:rPr>
              <w:t>BROKER_AND_TARGET</w:t>
            </w:r>
          </w:p>
        </w:tc>
        <w:tc>
          <w:tcPr>
            <w:tcW w:type="dxa" w:w="1999"/>
          </w:tcPr>
          <w:p>
            <w:pPr>
              <w:spacing w:after="0"/>
            </w:pPr>
            <w:r>
              <w:rPr>
                <w:rFonts w:ascii="Calibri" w:hAnsi="Calibri"/>
                <w:b w:val="0"/>
                <w:i w:val="0"/>
                <w:color w:val="000000"/>
                <w:sz w:val="15"/>
              </w:rPr>
              <w:t>lower_better</w:t>
            </w:r>
          </w:p>
        </w:tc>
        <w:tc>
          <w:tcPr>
            <w:tcW w:type="dxa" w:w="1999"/>
          </w:tcPr>
          <w:p>
            <w:pPr>
              <w:spacing w:after="0"/>
            </w:pPr>
            <w:r>
              <w:rPr>
                <w:rFonts w:ascii="Calibri" w:hAnsi="Calibri"/>
                <w:b w:val="0"/>
                <w:i w:val="0"/>
                <w:color w:val="000000"/>
                <w:sz w:val="15"/>
              </w:rPr>
              <w:t>broker_rating</w:t>
            </w:r>
          </w:p>
        </w:tc>
        <w:tc>
          <w:tcPr>
            <w:tcW w:type="dxa" w:w="1999"/>
          </w:tcPr>
          <w:p>
            <w:pPr>
              <w:spacing w:after="0"/>
            </w:pPr>
            <w:r>
              <w:rPr>
                <w:rFonts w:ascii="Calibri" w:hAnsi="Calibri"/>
                <w:b w:val="0"/>
                <w:i w:val="0"/>
                <w:color w:val="000000"/>
                <w:sz w:val="15"/>
              </w:rPr>
              <w:t>Directly scored</w:t>
            </w:r>
          </w:p>
        </w:tc>
      </w:tr>
      <w:tr>
        <w:trPr>
          <w:cantSplit/>
        </w:trPr>
        <w:tc>
          <w:tcPr>
            <w:tcW w:type="dxa" w:w="1999"/>
          </w:tcPr>
          <w:p>
            <w:pPr>
              <w:spacing w:after="0"/>
            </w:pPr>
            <w:r>
              <w:rPr>
                <w:rFonts w:ascii="Calibri" w:hAnsi="Calibri"/>
                <w:b w:val="0"/>
                <w:i w:val="0"/>
                <w:color w:val="000000"/>
                <w:sz w:val="15"/>
              </w:rPr>
              <w:t>Market Cap (mil)</w:t>
            </w:r>
          </w:p>
        </w:tc>
        <w:tc>
          <w:tcPr>
            <w:tcW w:type="dxa" w:w="1999"/>
          </w:tcPr>
          <w:p>
            <w:pPr>
              <w:spacing w:after="0"/>
            </w:pPr>
            <w:r>
              <w:rPr>
                <w:rFonts w:ascii="Calibri" w:hAnsi="Calibri"/>
                <w:b w:val="0"/>
                <w:i w:val="0"/>
                <w:color w:val="000000"/>
                <w:sz w:val="15"/>
              </w:rPr>
              <w:t>TRADABILITY</w:t>
            </w:r>
          </w:p>
        </w:tc>
        <w:tc>
          <w:tcPr>
            <w:tcW w:type="dxa" w:w="1999"/>
          </w:tcPr>
          <w:p>
            <w:pPr>
              <w:spacing w:after="0"/>
            </w:pPr>
            <w:r>
              <w:rPr>
                <w:rFonts w:ascii="Calibri" w:hAnsi="Calibri"/>
                <w:b w:val="0"/>
                <w:i w:val="0"/>
                <w:color w:val="000000"/>
                <w:sz w:val="15"/>
              </w:rPr>
              <w:t>higher_better</w:t>
            </w:r>
          </w:p>
        </w:tc>
        <w:tc>
          <w:tcPr>
            <w:tcW w:type="dxa" w:w="1999"/>
          </w:tcPr>
          <w:p>
            <w:pPr>
              <w:spacing w:after="0"/>
            </w:pPr>
            <w:r>
              <w:rPr>
                <w:rFonts w:ascii="Calibri" w:hAnsi="Calibri"/>
                <w:b w:val="0"/>
                <w:i w:val="0"/>
                <w:color w:val="000000"/>
                <w:sz w:val="15"/>
              </w:rPr>
              <w:t>liquidity_scale</w:t>
            </w:r>
          </w:p>
        </w:tc>
        <w:tc>
          <w:tcPr>
            <w:tcW w:type="dxa" w:w="1999"/>
          </w:tcPr>
          <w:p>
            <w:pPr>
              <w:spacing w:after="0"/>
            </w:pPr>
            <w:r>
              <w:rPr>
                <w:rFonts w:ascii="Calibri" w:hAnsi="Calibri"/>
                <w:b w:val="0"/>
                <w:i w:val="0"/>
                <w:color w:val="000000"/>
                <w:sz w:val="15"/>
              </w:rPr>
              <w:t>Directly scored</w:t>
            </w:r>
          </w:p>
        </w:tc>
      </w:tr>
    </w:tbl>
    <w:p>
      <w:pPr>
        <w:spacing w:after="20"/>
      </w:pPr>
    </w:p>
    <w:p>
      <w:pPr>
        <w:spacing w:after="80" w:line="259" w:lineRule="auto"/>
      </w:pPr>
      <w:r>
        <w:rPr>
          <w:rFonts w:ascii="Calibri" w:hAnsi="Calibri"/>
          <w:b w:val="0"/>
          <w:i w:val="0"/>
          <w:color w:val="000000"/>
          <w:sz w:val="19"/>
        </w:rPr>
        <w:t>The active registry is dynamic: a governed raw or derived factor enters only when the required calculated peer-score column exists. The denominator for factor coverage is the active scored registry for that run. Current, quick and cash ratios are present in the raw registry as target-range variables and become directional only through the asymmetric liquidity policy described below.</w:t>
      </w:r>
    </w:p>
    <w:p>
      <w:pPr>
        <w:pStyle w:val="Heading1"/>
      </w:pPr>
      <w:r>
        <w:t>10. Duplicate groups: controlling correlated evidence</w:t>
      </w:r>
    </w:p>
    <w:p>
      <w:pPr>
        <w:spacing w:after="80" w:line="259" w:lineRule="auto"/>
      </w:pPr>
      <w:r>
        <w:rPr>
          <w:rFonts w:ascii="Calibri" w:hAnsi="Calibri"/>
          <w:b w:val="0"/>
          <w:i w:val="0"/>
          <w:color w:val="000000"/>
          <w:sz w:val="19"/>
        </w:rPr>
        <w:t>Multiple source columns often measure the same economic exposure. Examples include overlapping return horizons, several profitability ratios, multiple earnings-surprise observations, and related estimate revisions. If they were all counted as independent evidence, a family with many redundant columns would dominate the model. Duplicate groups create a first aggregation layer.</w:t>
      </w:r>
    </w:p>
    <w:p>
      <w:pPr>
        <w:keepLines/>
        <w:spacing w:after="80"/>
        <w:jc w:val="center"/>
      </w:pPr>
      <w:r>
        <w:rPr>
          <w:rFonts w:ascii="Calibri" w:hAnsi="Calibri"/>
          <w:b w:val="0"/>
          <w:i/>
          <w:color w:val="1F1F1F"/>
          <w:sz w:val="19"/>
        </w:rPr>
        <w:t>Group Long Gg,L = Σ(aⱼ × Lⱼ) / Σ(aⱼ over available signals)</w:t>
      </w:r>
    </w:p>
    <w:p>
      <w:pPr>
        <w:keepLines/>
        <w:spacing w:after="80"/>
        <w:jc w:val="center"/>
      </w:pPr>
      <w:r>
        <w:rPr>
          <w:rFonts w:ascii="Calibri" w:hAnsi="Calibri"/>
          <w:b w:val="0"/>
          <w:i/>
          <w:color w:val="1F1F1F"/>
          <w:sz w:val="19"/>
        </w:rPr>
        <w:t>Group Short Gg,S = Σ(aⱼ × Sⱼ) / Σ(aⱼ over available signals)</w:t>
      </w:r>
    </w:p>
    <w:p>
      <w:pPr>
        <w:spacing w:after="80" w:line="259" w:lineRule="auto"/>
      </w:pPr>
      <w:r>
        <w:rPr>
          <w:rFonts w:ascii="Calibri" w:hAnsi="Calibri"/>
          <w:b w:val="0"/>
          <w:i w:val="0"/>
          <w:color w:val="000000"/>
          <w:sz w:val="19"/>
        </w:rPr>
        <w:t>aⱼ is the signal weight. Default signal weight is 1 unless overridden in the Control Panel weight map. Only signals with valid scores enter the numerator and denominator. If one of two group members is missing, the existing member retains its own value; the missing member does not dilute the result.</w:t>
      </w:r>
    </w:p>
    <w:p>
      <w:pPr>
        <w:spacing w:after="80" w:line="259" w:lineRule="auto"/>
      </w:pPr>
      <w:r>
        <w:rPr>
          <w:rFonts w:ascii="Calibri" w:hAnsi="Calibri"/>
          <w:b w:val="0"/>
          <w:i w:val="0"/>
          <w:color w:val="000000"/>
          <w:sz w:val="19"/>
        </w:rPr>
        <w:t>A duplicate group is therefore an exposure bucket, not another data transformation. It controls influence while preserving all underlying factor-level audit fields.</w:t>
      </w:r>
    </w:p>
    <w:p>
      <w:pPr>
        <w:pStyle w:val="Heading1"/>
      </w:pPr>
      <w:r>
        <w:t>11. Families: the second aggregation layer</w:t>
      </w:r>
    </w:p>
    <w:p>
      <w:pPr>
        <w:spacing w:after="80" w:line="259" w:lineRule="auto"/>
      </w:pPr>
      <w:r>
        <w:rPr>
          <w:rFonts w:ascii="Calibri" w:hAnsi="Calibri"/>
          <w:b w:val="0"/>
          <w:i w:val="0"/>
          <w:color w:val="000000"/>
          <w:sz w:val="19"/>
        </w:rPr>
        <w:t>The model organises evidence into 12 economic families: valuation; growth; profitability and returns; balance sheet and leverage; liquidity and efficiency; earnings quality; estimates and revisions; shareholder and yield; market behaviour; broker and target; tradability; and risk and stability.</w:t>
      </w:r>
    </w:p>
    <w:p>
      <w:pPr>
        <w:pStyle w:val="Heading2"/>
      </w:pPr>
      <w:r>
        <w:t>11.1 Family coverage</w:t>
      </w:r>
    </w:p>
    <w:p>
      <w:pPr>
        <w:keepLines/>
        <w:spacing w:after="80"/>
        <w:jc w:val="center"/>
      </w:pPr>
      <w:r>
        <w:rPr>
          <w:rFonts w:ascii="Calibri" w:hAnsi="Calibri"/>
          <w:b w:val="0"/>
          <w:i/>
          <w:color w:val="1F1F1F"/>
          <w:sz w:val="19"/>
        </w:rPr>
        <w:t>Family internal coverage Cf = number of available duplicate groups / total configured groups in that family</w:t>
      </w:r>
    </w:p>
    <w:p>
      <w:pPr>
        <w:spacing w:after="80" w:line="259" w:lineRule="auto"/>
      </w:pPr>
      <w:r>
        <w:rPr>
          <w:rFonts w:ascii="Calibri" w:hAnsi="Calibri"/>
          <w:b w:val="0"/>
          <w:i w:val="0"/>
          <w:color w:val="000000"/>
          <w:sz w:val="19"/>
        </w:rPr>
        <w:t>A family is admitted only when Cf meets MIN_FAMILY_COVERAGE, currently 60%. A family below the threshold is missing for that stock, even if one attractive group exists. This prevents a broad family score from being represented by too little of its intended evidence.</w:t>
      </w:r>
    </w:p>
    <w:p>
      <w:pPr>
        <w:pStyle w:val="Heading2"/>
      </w:pPr>
      <w:r>
        <w:t>11.2 Family score</w:t>
      </w:r>
    </w:p>
    <w:p>
      <w:pPr>
        <w:keepLines/>
        <w:spacing w:after="80"/>
        <w:jc w:val="center"/>
      </w:pPr>
      <w:r>
        <w:rPr>
          <w:rFonts w:ascii="Calibri" w:hAnsi="Calibri"/>
          <w:b w:val="0"/>
          <w:i/>
          <w:color w:val="1F1F1F"/>
          <w:sz w:val="19"/>
        </w:rPr>
        <w:t>Family Long Ff,L = Σ(bg × Gg,L) / Σ(bg over available groups)</w:t>
      </w:r>
    </w:p>
    <w:p>
      <w:pPr>
        <w:keepLines/>
        <w:spacing w:after="80"/>
        <w:jc w:val="center"/>
      </w:pPr>
      <w:r>
        <w:rPr>
          <w:rFonts w:ascii="Calibri" w:hAnsi="Calibri"/>
          <w:b w:val="0"/>
          <w:i/>
          <w:color w:val="1F1F1F"/>
          <w:sz w:val="19"/>
        </w:rPr>
        <w:t>Family Short Ff,S = Σ(bg × Gg,S) / Σ(bg over available groups)</w:t>
      </w:r>
    </w:p>
    <w:p>
      <w:pPr>
        <w:spacing w:after="80" w:line="259" w:lineRule="auto"/>
      </w:pPr>
      <w:r>
        <w:rPr>
          <w:rFonts w:ascii="Calibri" w:hAnsi="Calibri"/>
          <w:b w:val="0"/>
          <w:i w:val="0"/>
          <w:color w:val="000000"/>
          <w:sz w:val="19"/>
        </w:rPr>
        <w:t>bg is the duplicate-group weight, defaulting to 1. Available group weights are renormalised. The model stores each family’s long score, short score and internal coverage.</w:t>
      </w:r>
    </w:p>
    <w:p>
      <w:pPr>
        <w:pStyle w:val="Heading1"/>
      </w:pPr>
      <w:r>
        <w:t>12. Family weighting and shared quant composite</w:t>
      </w:r>
    </w:p>
    <w:p>
      <w:pPr>
        <w:spacing w:after="80" w:line="259" w:lineRule="auto"/>
      </w:pPr>
      <w:r>
        <w:rPr>
          <w:rFonts w:ascii="Calibri" w:hAnsi="Calibri"/>
          <w:b w:val="0"/>
          <w:i w:val="0"/>
          <w:color w:val="000000"/>
          <w:sz w:val="19"/>
        </w:rPr>
        <w:t>Family weights control the influence of each admitted economic family and are editable in the Control Panel. Signals first consolidate through duplicate-exposure groups, so repeated versions of the same concept do not dominate merely because the Dataset supplies several columns.</w:t>
      </w:r>
    </w:p>
    <w:p>
      <w:pPr>
        <w:keepLines/>
        <w:spacing w:after="80"/>
        <w:jc w:val="center"/>
      </w:pPr>
      <w:r>
        <w:rPr>
          <w:rFonts w:ascii="Calibri" w:hAnsi="Calibri"/>
          <w:b w:val="0"/>
          <w:i/>
          <w:color w:val="1F1F1F"/>
          <w:sz w:val="19"/>
        </w:rPr>
        <w:t>Raw direction = Σ(Wf × Ff,direction) / Σ(Wf over admitted families)</w:t>
      </w:r>
    </w:p>
    <w:p>
      <w:pPr>
        <w:keepLines/>
        <w:spacing w:after="80"/>
        <w:jc w:val="center"/>
      </w:pPr>
      <w:r>
        <w:rPr>
          <w:rFonts w:ascii="Calibri" w:hAnsi="Calibri"/>
          <w:b w:val="0"/>
          <w:i/>
          <w:color w:val="1F1F1F"/>
          <w:sz w:val="19"/>
        </w:rPr>
        <w:t>Published direction = 50 + (Confidence / 100) × (Raw direction − 50)</w:t>
      </w:r>
    </w:p>
    <w:p>
      <w:pPr>
        <w:keepLines/>
        <w:spacing w:after="80"/>
        <w:jc w:val="center"/>
      </w:pPr>
      <w:r>
        <w:rPr>
          <w:rFonts w:ascii="Calibri" w:hAnsi="Calibri"/>
          <w:b w:val="0"/>
          <w:i/>
          <w:color w:val="1F1F1F"/>
          <w:sz w:val="19"/>
        </w:rPr>
        <w:t>Quant Net = Published Long − Published Short</w:t>
      </w:r>
    </w:p>
    <w:p>
      <w:pPr>
        <w:spacing w:after="80" w:line="259" w:lineRule="auto"/>
      </w:pPr>
      <w:r>
        <w:rPr>
          <w:rFonts w:ascii="Calibri" w:hAnsi="Calibri"/>
          <w:b w:val="0"/>
          <w:i w:val="0"/>
          <w:color w:val="000000"/>
          <w:sz w:val="19"/>
        </w:rPr>
        <w:t>Weights are renormalised over valid structurally applicable families; missing data is not zero-filled. With complementary evidence, Long + Short = 100. The net score is a directional spread—not an expected return.</w:t>
      </w:r>
    </w:p>
    <w:p>
      <w:pPr>
        <w:spacing w:after="80" w:line="259" w:lineRule="auto"/>
      </w:pPr>
      <w:r>
        <w:rPr>
          <w:rFonts w:ascii="Calibri" w:hAnsi="Calibri"/>
          <w:b w:val="0"/>
          <w:i w:val="0"/>
          <w:color w:val="000000"/>
          <w:sz w:val="19"/>
        </w:rPr>
        <w:t>The audit output stores every family score, configured and applied weight, weighted numerator and final contribution point. Their sum exactly reconstructs the raw score; the confidence formula exactly reconstructs the published score.</w:t>
      </w:r>
    </w:p>
    <w:p>
      <w:pPr>
        <w:pStyle w:val="Heading1"/>
      </w:pPr>
      <w:r>
        <w:t>13. Coverage, evidence counts and confidence</w:t>
      </w:r>
    </w:p>
    <w:p>
      <w:pPr>
        <w:pStyle w:val="Heading2"/>
      </w:pPr>
      <w:r>
        <w:t>13.1 Independent-group coverage</w:t>
      </w:r>
    </w:p>
    <w:p>
      <w:pPr>
        <w:keepLines/>
        <w:spacing w:after="80"/>
        <w:jc w:val="center"/>
      </w:pPr>
      <w:r>
        <w:rPr>
          <w:rFonts w:ascii="Calibri" w:hAnsi="Calibri"/>
          <w:b w:val="0"/>
          <w:i/>
          <w:color w:val="1F1F1F"/>
          <w:sz w:val="19"/>
        </w:rPr>
        <w:t>Independent-group coverage = available applicable duplicate groups / applicable duplicate groups</w:t>
      </w:r>
    </w:p>
    <w:p>
      <w:pPr>
        <w:spacing w:after="80" w:line="259" w:lineRule="auto"/>
      </w:pPr>
      <w:r>
        <w:rPr>
          <w:rFonts w:ascii="Calibri" w:hAnsi="Calibri"/>
          <w:b w:val="0"/>
          <w:i w:val="0"/>
          <w:color w:val="000000"/>
          <w:sz w:val="19"/>
        </w:rPr>
        <w:t>The final quant composite is withheld unless independent-group coverage reaches MIN_FACTOR_COVERAGE. Duplicate source fields cannot inflate completeness, and structural financial-company liquidity exclusions leave the denominator.</w:t>
      </w:r>
    </w:p>
    <w:p>
      <w:pPr>
        <w:pStyle w:val="Heading2"/>
      </w:pPr>
      <w:r>
        <w:t>13.2 Top-level family coverage</w:t>
      </w:r>
    </w:p>
    <w:p>
      <w:pPr>
        <w:keepLines/>
        <w:spacing w:after="80"/>
        <w:jc w:val="center"/>
      </w:pPr>
      <w:r>
        <w:rPr>
          <w:rFonts w:ascii="Calibri" w:hAnsi="Calibri"/>
          <w:b w:val="0"/>
          <w:i/>
          <w:color w:val="1F1F1F"/>
          <w:sz w:val="19"/>
        </w:rPr>
        <w:t>Top-level family coverage = number of admitted family scores / number of active families</w:t>
      </w:r>
    </w:p>
    <w:p>
      <w:pPr>
        <w:spacing w:after="80" w:line="259" w:lineRule="auto"/>
      </w:pPr>
      <w:r>
        <w:rPr>
          <w:rFonts w:ascii="Calibri" w:hAnsi="Calibri"/>
          <w:b w:val="0"/>
          <w:i w:val="0"/>
          <w:color w:val="000000"/>
          <w:sz w:val="19"/>
        </w:rPr>
        <w:t>This differs from a family’s internal coverage. Internal coverage decides whether that individual family is admitted; top-level coverage measures how much of the whole architecture survived.</w:t>
      </w:r>
    </w:p>
    <w:p>
      <w:pPr>
        <w:pStyle w:val="Heading2"/>
      </w:pPr>
      <w:r>
        <w:t>13.3 Confidence</w:t>
      </w:r>
    </w:p>
    <w:p>
      <w:pPr>
        <w:keepLines/>
        <w:spacing w:after="80"/>
        <w:jc w:val="center"/>
      </w:pPr>
      <w:r>
        <w:rPr>
          <w:rFonts w:ascii="Calibri" w:hAnsi="Calibri"/>
          <w:b w:val="0"/>
          <w:i/>
          <w:color w:val="1F1F1F"/>
          <w:sz w:val="19"/>
        </w:rPr>
        <w:t>Confidence = 100 × (wf × factor coverage + wF × family coverage) / (wf + wF)</w:t>
      </w:r>
    </w:p>
    <w:p>
      <w:pPr>
        <w:spacing w:after="80" w:line="259" w:lineRule="auto"/>
      </w:pPr>
      <w:r>
        <w:rPr>
          <w:rFonts w:ascii="Calibri" w:hAnsi="Calibri"/>
          <w:b w:val="0"/>
          <w:i w:val="0"/>
          <w:color w:val="000000"/>
          <w:sz w:val="19"/>
        </w:rPr>
        <w:t>Confidence is clipped to 0–100. It is a completeness measure, not a direction score. A stock can have high confidence and neutral conviction, or strong apparent conviction but inadequate confidence.</w:t>
      </w:r>
    </w:p>
    <w:p>
      <w:pPr>
        <w:pStyle w:val="Heading2"/>
      </w:pPr>
      <w:r>
        <w:t>13.4 Evidence counts</w:t>
      </w:r>
    </w:p>
    <w:p>
      <w:pPr>
        <w:spacing w:after="80" w:line="259" w:lineRule="auto"/>
      </w:pPr>
      <w:r>
        <w:rPr>
          <w:rFonts w:ascii="Calibri" w:hAnsi="Calibri"/>
          <w:b w:val="0"/>
          <w:i w:val="0"/>
          <w:color w:val="000000"/>
          <w:sz w:val="19"/>
        </w:rPr>
        <w:t>The program counts economically oriented factor scores above 50, below 50 and equal to 50 as positive, negative and neutral evidence. Lower-is-better signals are reversed before counting.</w:t>
      </w:r>
    </w:p>
    <w:p>
      <w:pPr>
        <w:pStyle w:val="Heading1"/>
      </w:pPr>
      <w:r>
        <w:t>14. Liquidity and working-capital policy</w:t>
      </w:r>
    </w:p>
    <w:p>
      <w:pPr>
        <w:spacing w:after="80" w:line="259" w:lineRule="auto"/>
      </w:pPr>
      <w:r>
        <w:rPr>
          <w:rFonts w:ascii="Calibri" w:hAnsi="Calibri"/>
          <w:b w:val="0"/>
          <w:i w:val="0"/>
          <w:color w:val="000000"/>
          <w:sz w:val="19"/>
        </w:rPr>
        <w:t>Current ratio, quick ratio and cash ratio do not obey a simple ‘higher is always better’ rule. Extremely low liquidity can indicate distress, while very high liquidity is not automatically a bullish signal. The policy is deliberately asymmetric: ordinary or high liquidity is neutral; only the low tail creates negative evidence.</w:t>
      </w:r>
    </w:p>
    <w:p>
      <w:pPr>
        <w:keepLines/>
        <w:spacing w:after="80"/>
        <w:jc w:val="center"/>
      </w:pPr>
      <w:r>
        <w:rPr>
          <w:rFonts w:ascii="Calibri" w:hAnsi="Calibri"/>
          <w:b w:val="0"/>
          <w:i/>
          <w:color w:val="1F1F1F"/>
          <w:sz w:val="19"/>
        </w:rPr>
        <w:t>Liquidity score = 50 when z ≥ t</w:t>
      </w:r>
    </w:p>
    <w:p>
      <w:pPr>
        <w:keepLines/>
        <w:spacing w:after="80"/>
        <w:jc w:val="center"/>
      </w:pPr>
      <w:r>
        <w:rPr>
          <w:rFonts w:ascii="Calibri" w:hAnsi="Calibri"/>
          <w:b w:val="0"/>
          <w:i/>
          <w:color w:val="1F1F1F"/>
          <w:sz w:val="19"/>
        </w:rPr>
        <w:t>Liquidity score = F + (50 − F) × [clip(z,b,t) − b] / (t − b), when z &lt; t</w:t>
      </w:r>
    </w:p>
    <w:p>
      <w:pPr>
        <w:spacing w:after="80" w:line="259" w:lineRule="auto"/>
      </w:pPr>
      <w:r>
        <w:rPr>
          <w:rFonts w:ascii="Calibri" w:hAnsi="Calibri"/>
          <w:b w:val="0"/>
          <w:i w:val="0"/>
          <w:color w:val="000000"/>
          <w:sz w:val="19"/>
        </w:rPr>
        <w:t>t is the distress threshold, F is the floor, and b=−|z cap|; all are governed by the current Control Panel snapshot. The score never exceeds 50, so excess liquidity does not create positive alpha evidence.</w:t>
      </w:r>
    </w:p>
    <w:p>
      <w:pPr>
        <w:spacing w:after="80" w:line="259" w:lineRule="auto"/>
      </w:pPr>
      <w:r>
        <w:rPr>
          <w:rFonts w:ascii="Calibri" w:hAnsi="Calibri"/>
          <w:b w:val="0"/>
          <w:i w:val="0"/>
          <w:color w:val="000000"/>
          <w:sz w:val="19"/>
        </w:rPr>
        <w:t>The three liquidity policy scores are inserted into the liquidity-and-efficiency family as distinct duplicate groups. Financial companies are excluded because bank and financial balance sheets make ordinary industrial liquidity ratios structurally incomparable. The excluded sectors are controlled by FINANCIAL_SECTORS.</w:t>
      </w:r>
    </w:p>
    <w:p>
      <w:pPr>
        <w:spacing w:after="80" w:line="259" w:lineRule="auto"/>
      </w:pPr>
      <w:r>
        <w:rPr>
          <w:rFonts w:ascii="Calibri" w:hAnsi="Calibri"/>
          <w:b w:val="0"/>
          <w:i w:val="0"/>
          <w:color w:val="000000"/>
          <w:sz w:val="19"/>
        </w:rPr>
        <w:t>Working-capital-to-sales has a separate excessive-working-capital flag when its peer z-score exceeds the configured threshold, currently +2. This is an audit warning, not automatically a bullish or bearish score.</w:t>
      </w:r>
    </w:p>
    <w:p>
      <w:pPr>
        <w:pStyle w:val="Heading1"/>
      </w:pPr>
      <w:r>
        <w:t>15. Robust peer-score blend</w:t>
      </w:r>
    </w:p>
    <w:p>
      <w:pPr>
        <w:keepLines/>
        <w:spacing w:after="80"/>
        <w:jc w:val="center"/>
      </w:pPr>
      <w:r>
        <w:rPr>
          <w:rFonts w:ascii="Calibri" w:hAnsi="Calibri"/>
          <w:b w:val="0"/>
          <w:i/>
          <w:color w:val="1F1F1F"/>
          <w:sz w:val="19"/>
        </w:rPr>
        <w:t>Peer score = α × shrunk empirical percentile + (1−α) × capped robust-z mapping</w:t>
      </w:r>
    </w:p>
    <w:p>
      <w:pPr>
        <w:spacing w:after="80" w:line="259" w:lineRule="auto"/>
      </w:pPr>
      <w:r>
        <w:rPr>
          <w:rFonts w:ascii="Calibri" w:hAnsi="Calibri"/>
          <w:b w:val="0"/>
          <w:i w:val="0"/>
          <w:color w:val="000000"/>
          <w:sz w:val="19"/>
        </w:rPr>
        <w:t>α is configurable and its current value is shown in the Control Panel section. Robust z uses the peer median and MAD; classical mean/standard-deviation z is used only when MAD is zero. Raw observations remain unchanged. This makes outliers less able to distort the common 0–100 scale while retaining ordinal peer information.</w:t>
      </w:r>
    </w:p>
    <w:p>
      <w:pPr>
        <w:pStyle w:val="Heading1"/>
      </w:pPr>
      <w:r>
        <w:t>16. Redundancy and missing-data safeguards</w:t>
      </w:r>
    </w:p>
    <w:p>
      <w:pPr>
        <w:spacing w:after="80" w:line="259" w:lineRule="auto"/>
      </w:pPr>
      <w:r>
        <w:rPr>
          <w:rFonts w:ascii="Calibri" w:hAnsi="Calibri"/>
          <w:b w:val="0"/>
          <w:i w:val="0"/>
          <w:color w:val="000000"/>
          <w:sz w:val="19"/>
        </w:rPr>
        <w:t>Correlated signals share duplicate-exposure groups; missing signals and families contribute neither zero nor weight. Applicable weights are renormalised only after minimum-data checks. Structurally inapplicable ratios are explicitly excluded rather than counted as missing. The removed requested-core/secondary path no longer creates contradictory or redundant rankings.</w:t>
      </w:r>
    </w:p>
    <w:p>
      <w:pPr>
        <w:pStyle w:val="Heading1"/>
      </w:pPr>
      <w:r>
        <w:t>17. Hard gates and risk policy</w:t>
      </w:r>
    </w:p>
    <w:p>
      <w:pPr>
        <w:spacing w:after="80" w:line="259" w:lineRule="auto"/>
      </w:pPr>
      <w:r>
        <w:rPr>
          <w:rFonts w:ascii="Calibri" w:hAnsi="Calibri"/>
          <w:b w:val="0"/>
          <w:i w:val="0"/>
          <w:color w:val="000000"/>
          <w:sz w:val="19"/>
        </w:rPr>
        <w:t>A high score is necessary but not sufficient. Hard gates remove names that violate non-negotiable data or risk requirements before final selection.</w:t>
      </w:r>
    </w:p>
    <w:p>
      <w:pPr>
        <w:pStyle w:val="Heading2"/>
      </w:pPr>
      <w:r>
        <w:t>17.1 Sector-aware balance-sheet gates</w:t>
      </w:r>
    </w:p>
    <w:p>
      <w:pPr>
        <w:keepLines/>
        <w:spacing w:after="80"/>
        <w:jc w:val="center"/>
      </w:pPr>
      <w:r>
        <w:rPr>
          <w:rFonts w:ascii="Calibri" w:hAnsi="Calibri"/>
          <w:b w:val="0"/>
          <w:i/>
          <w:color w:val="1F1F1F"/>
          <w:sz w:val="19"/>
        </w:rPr>
        <w:t>Debt/equity ratio = source Total Debt/Equity ratio (identity normalisation)</w:t>
      </w:r>
    </w:p>
    <w:p>
      <w:pPr>
        <w:spacing w:after="80" w:line="259" w:lineRule="auto"/>
      </w:pPr>
      <w:r>
        <w:rPr>
          <w:rFonts w:ascii="Calibri" w:hAnsi="Calibri"/>
          <w:b w:val="0"/>
          <w:i w:val="0"/>
          <w:color w:val="000000"/>
          <w:sz w:val="19"/>
        </w:rPr>
        <w:t>Standard companies use the configured leverage threshold. Financials and REIT/real-estate companies use sector-appropriate evidence rather than being forced through the standard-company gate. High-growth and turnaround exceptions are explicit, strategy-specific and auditable. Missing evidence never becomes zero or an automatic pass.</w:t>
      </w:r>
    </w:p>
    <w:p>
      <w:pPr>
        <w:pStyle w:val="Heading2"/>
      </w:pPr>
      <w:r>
        <w:t>17.2 Book-value divergence gate</w:t>
      </w:r>
    </w:p>
    <w:p>
      <w:pPr>
        <w:keepLines/>
        <w:spacing w:after="80"/>
        <w:jc w:val="center"/>
      </w:pPr>
      <w:r>
        <w:rPr>
          <w:rFonts w:ascii="Calibri" w:hAnsi="Calibri"/>
          <w:b w:val="0"/>
          <w:i/>
          <w:color w:val="1F1F1F"/>
          <w:sz w:val="19"/>
        </w:rPr>
        <w:t>Divergence = |share price − book value per share| / |share price|</w:t>
      </w:r>
    </w:p>
    <w:p>
      <w:pPr>
        <w:keepLines/>
        <w:spacing w:after="80"/>
        <w:jc w:val="center"/>
      </w:pPr>
      <w:r>
        <w:rPr>
          <w:rFonts w:ascii="Calibri" w:hAnsi="Calibri"/>
          <w:b w:val="0"/>
          <w:i/>
          <w:color w:val="1F1F1F"/>
          <w:sz w:val="19"/>
        </w:rPr>
        <w:t>Gate passes only when divergence ≤ MAX_BOOK_PRICE_DIVERGENCE</w:t>
      </w:r>
    </w:p>
    <w:p>
      <w:pPr>
        <w:spacing w:after="80" w:line="259" w:lineRule="auto"/>
      </w:pPr>
      <w:r>
        <w:rPr>
          <w:rFonts w:ascii="Calibri" w:hAnsi="Calibri"/>
          <w:b w:val="0"/>
          <w:i w:val="0"/>
          <w:color w:val="000000"/>
          <w:sz w:val="19"/>
        </w:rPr>
        <w:t>This gate is optional and is currently disabled when the Control Panel cell is blank. If the desired policy is ‘no divergence,’ set the maximum to 0; then price and book value must match exactly. Because exact equality is very restrictive and sensitive to data timing and rounding, the control allows any non-negative tolerance when required. When enabled, missing price, missing book value, or invalid non-positive inputs fail the gate.</w:t>
      </w:r>
    </w:p>
    <w:p>
      <w:pPr>
        <w:pStyle w:val="Heading2"/>
      </w:pPr>
      <w:r>
        <w:t>17.3 Data and score gates</w:t>
      </w:r>
    </w:p>
    <w:p>
      <w:pPr>
        <w:pStyle w:val="ListBullet"/>
        <w:spacing w:after="40" w:line="250" w:lineRule="auto"/>
      </w:pPr>
      <w:r>
        <w:rPr>
          <w:rFonts w:ascii="Calibri" w:hAnsi="Calibri"/>
          <w:b w:val="0"/>
          <w:i w:val="0"/>
          <w:color w:val="000000"/>
          <w:sz w:val="19"/>
        </w:rPr>
        <w:t>Data Status must be SUFFICIENT.</w:t>
      </w:r>
    </w:p>
    <w:p>
      <w:pPr>
        <w:pStyle w:val="ListBullet"/>
        <w:spacing w:after="40" w:line="250" w:lineRule="auto"/>
      </w:pPr>
      <w:r>
        <w:rPr>
          <w:rFonts w:ascii="Calibri" w:hAnsi="Calibri"/>
          <w:b w:val="0"/>
          <w:i w:val="0"/>
          <w:color w:val="000000"/>
          <w:sz w:val="19"/>
        </w:rPr>
        <w:t>Score Confidence must meet MIN_CANDIDATE_CONFIDENCE, currently 85.</w:t>
      </w:r>
    </w:p>
    <w:p>
      <w:pPr>
        <w:pStyle w:val="ListBullet"/>
        <w:spacing w:after="40" w:line="250" w:lineRule="auto"/>
      </w:pPr>
      <w:r>
        <w:rPr>
          <w:rFonts w:ascii="Calibri" w:hAnsi="Calibri"/>
          <w:b w:val="0"/>
          <w:i w:val="0"/>
          <w:color w:val="000000"/>
          <w:sz w:val="19"/>
        </w:rPr>
        <w:t>Expanded Long or Short Score must meet its direction threshold from the Control Panel.</w:t>
      </w:r>
    </w:p>
    <w:p>
      <w:pPr>
        <w:pStyle w:val="ListBullet"/>
        <w:spacing w:after="40" w:line="250" w:lineRule="auto"/>
      </w:pPr>
      <w:r>
        <w:rPr>
          <w:rFonts w:ascii="Calibri" w:hAnsi="Calibri"/>
          <w:b w:val="0"/>
          <w:i w:val="0"/>
          <w:color w:val="000000"/>
          <w:sz w:val="19"/>
        </w:rPr>
        <w:t>The stock must qualify within its industry rank limit and then survive the global direction cap.</w:t>
      </w:r>
    </w:p>
    <w:p>
      <w:pPr>
        <w:pStyle w:val="Heading1"/>
      </w:pPr>
      <w:r>
        <w:t>18. Ranking, overlap resolution and configurable universe size</w:t>
      </w:r>
    </w:p>
    <w:p>
      <w:pPr>
        <w:pStyle w:val="Heading2"/>
      </w:pPr>
      <w:r>
        <w:t>18.1 Industry ranking</w:t>
      </w:r>
    </w:p>
    <w:p>
      <w:pPr>
        <w:spacing w:after="80" w:line="259" w:lineRule="auto"/>
      </w:pPr>
      <w:r>
        <w:rPr>
          <w:rFonts w:ascii="Calibri" w:hAnsi="Calibri"/>
          <w:b w:val="0"/>
          <w:i w:val="0"/>
          <w:color w:val="000000"/>
          <w:sz w:val="19"/>
        </w:rPr>
        <w:t>Expanded and requested scores are ranked separately by direction within each industry. Only sufficient rows participate in meaningful expanded ranking. The deterministic ordering is score descending, ticker alphabetically, then Source Row. This makes tied runs reproducible.</w:t>
      </w:r>
    </w:p>
    <w:p>
      <w:pPr>
        <w:pStyle w:val="Heading2"/>
      </w:pPr>
      <w:r>
        <w:t>18.2 Per-industry limits</w:t>
      </w:r>
    </w:p>
    <w:p>
      <w:pPr>
        <w:spacing w:after="80" w:line="259" w:lineRule="auto"/>
      </w:pPr>
      <w:r>
        <w:rPr>
          <w:rFonts w:ascii="Calibri" w:hAnsi="Calibri"/>
          <w:b w:val="0"/>
          <w:i w:val="0"/>
          <w:color w:val="000000"/>
          <w:sz w:val="19"/>
        </w:rPr>
        <w:t>TOP_N_LONG and TOP_N_SHORT define how many candidates may qualify from each industry. They are independently changeable in the Control Panel and are currently 3 each. Changing these controls changes concentration by industry without altering any score calculation.</w:t>
      </w:r>
    </w:p>
    <w:p>
      <w:pPr>
        <w:pStyle w:val="Heading2"/>
      </w:pPr>
      <w:r>
        <w:t>18.3 Long/short overlap</w:t>
      </w:r>
    </w:p>
    <w:p>
      <w:pPr>
        <w:spacing w:after="80" w:line="259" w:lineRule="auto"/>
      </w:pPr>
      <w:r>
        <w:rPr>
          <w:rFonts w:ascii="Calibri" w:hAnsi="Calibri"/>
          <w:b w:val="0"/>
          <w:i w:val="0"/>
          <w:color w:val="000000"/>
          <w:sz w:val="19"/>
        </w:rPr>
        <w:t>A ticker cannot be selected both long and short. If it provisionally qualifies for both directions, the direction with the higher expanded score is retained. Exact symmetry is resolved deterministically by the model ordering rather than allowing a conflict.</w:t>
      </w:r>
    </w:p>
    <w:p>
      <w:pPr>
        <w:pStyle w:val="Heading2"/>
      </w:pPr>
      <w:r>
        <w:t>18.4 Universe-wide counts</w:t>
      </w:r>
    </w:p>
    <w:p>
      <w:pPr>
        <w:spacing w:after="80" w:line="259" w:lineRule="auto"/>
      </w:pPr>
      <w:r>
        <w:rPr>
          <w:rFonts w:ascii="Calibri" w:hAnsi="Calibri"/>
          <w:b w:val="0"/>
          <w:i w:val="0"/>
          <w:color w:val="000000"/>
          <w:sz w:val="19"/>
        </w:rPr>
        <w:t>MAX_QUANT_LONGS_TOTAL and MAX_QUANT_SHORTS_TOTAL cap diagnostic quant candidates. Investment attractiveness remains separate from balance-sheet, tradability and short-borrow implementation validation.</w:t>
      </w:r>
    </w:p>
    <w:p>
      <w:pPr>
        <w:pStyle w:val="Heading1"/>
      </w:pPr>
      <w:r>
        <w:t>19. Reconciliation and diagnostic calculations</w:t>
      </w:r>
    </w:p>
    <w:p>
      <w:pPr>
        <w:pStyle w:val="Heading2"/>
      </w:pPr>
      <w:r>
        <w:t>19.1 Price-to-book reconciliation</w:t>
      </w:r>
    </w:p>
    <w:p>
      <w:pPr>
        <w:keepLines/>
        <w:spacing w:after="80"/>
        <w:jc w:val="center"/>
      </w:pPr>
      <w:r>
        <w:rPr>
          <w:rFonts w:ascii="Calibri" w:hAnsi="Calibri"/>
          <w:b w:val="0"/>
          <w:i/>
          <w:color w:val="1F1F1F"/>
          <w:sz w:val="19"/>
        </w:rPr>
        <w:t>Reconstructed P/B = Last Close / Book Value per Share</w:t>
      </w:r>
    </w:p>
    <w:p>
      <w:pPr>
        <w:keepLines/>
        <w:spacing w:after="80"/>
        <w:jc w:val="center"/>
      </w:pPr>
      <w:r>
        <w:rPr>
          <w:rFonts w:ascii="Calibri" w:hAnsi="Calibri"/>
          <w:b w:val="0"/>
          <w:i/>
          <w:color w:val="1F1F1F"/>
          <w:sz w:val="19"/>
        </w:rPr>
        <w:t>Relative difference = |reconstructed P/B / supplied P/B − 1|</w:t>
      </w:r>
    </w:p>
    <w:p>
      <w:pPr>
        <w:spacing w:after="80" w:line="259" w:lineRule="auto"/>
      </w:pPr>
      <w:r>
        <w:rPr>
          <w:rFonts w:ascii="Calibri" w:hAnsi="Calibri"/>
          <w:b w:val="0"/>
          <w:i w:val="0"/>
          <w:color w:val="000000"/>
          <w:sz w:val="19"/>
        </w:rPr>
        <w:t>A diagnostic flag is raised when the relative difference exceeds the configured tolerance, currently 15%. This flag checks source consistency; it is distinct from the optional book/price hard gate.</w:t>
      </w:r>
    </w:p>
    <w:p>
      <w:pPr>
        <w:pStyle w:val="Heading2"/>
      </w:pPr>
      <w:r>
        <w:t>19.2 Market-cap-per-share reconciliation</w:t>
      </w:r>
    </w:p>
    <w:p>
      <w:pPr>
        <w:keepLines/>
        <w:spacing w:after="80"/>
        <w:jc w:val="center"/>
      </w:pPr>
      <w:r>
        <w:rPr>
          <w:rFonts w:ascii="Calibri" w:hAnsi="Calibri"/>
          <w:b w:val="0"/>
          <w:i/>
          <w:color w:val="1F1F1F"/>
          <w:sz w:val="19"/>
        </w:rPr>
        <w:t>Market-cap-per-share = Market Cap (millions) / Shares Outstanding (millions)</w:t>
      </w:r>
    </w:p>
    <w:p>
      <w:pPr>
        <w:keepLines/>
        <w:spacing w:after="80"/>
        <w:jc w:val="center"/>
      </w:pPr>
      <w:r>
        <w:rPr>
          <w:rFonts w:ascii="Calibri" w:hAnsi="Calibri"/>
          <w:b w:val="0"/>
          <w:i/>
          <w:color w:val="1F1F1F"/>
          <w:sz w:val="19"/>
        </w:rPr>
        <w:t>Relative difference from price = |market-cap-per-share / Last Close − 1|</w:t>
      </w:r>
    </w:p>
    <w:p>
      <w:pPr>
        <w:spacing w:after="80" w:line="259" w:lineRule="auto"/>
      </w:pPr>
      <w:r>
        <w:rPr>
          <w:rFonts w:ascii="Calibri" w:hAnsi="Calibri"/>
          <w:b w:val="0"/>
          <w:i w:val="0"/>
          <w:color w:val="000000"/>
          <w:sz w:val="19"/>
        </w:rPr>
        <w:t>A flag is raised above the configured tolerance, currently 20%. Because both numerator and denominator use millions, the units cancel correctly to currency per share.</w:t>
      </w:r>
    </w:p>
    <w:p>
      <w:pPr>
        <w:pStyle w:val="Heading2"/>
      </w:pPr>
      <w:r>
        <w:t>19.3 Broker-rating reconciliation</w:t>
      </w:r>
    </w:p>
    <w:p>
      <w:pPr>
        <w:spacing w:after="80" w:line="259" w:lineRule="auto"/>
      </w:pPr>
      <w:r>
        <w:rPr>
          <w:rFonts w:ascii="Calibri" w:hAnsi="Calibri"/>
          <w:b w:val="0"/>
          <w:i w:val="0"/>
          <w:color w:val="000000"/>
          <w:sz w:val="19"/>
        </w:rPr>
        <w:t>The bullish, neutral and bearish broker-rating percentages are summed. A diagnostic flag is raised when the total differs from 100 by more than the configured tolerance, currently 2 percentage points.</w:t>
      </w:r>
    </w:p>
    <w:p>
      <w:pPr>
        <w:spacing w:after="80" w:line="259" w:lineRule="auto"/>
      </w:pPr>
      <w:r>
        <w:rPr>
          <w:rFonts w:ascii="Calibri" w:hAnsi="Calibri"/>
          <w:b w:val="0"/>
          <w:i w:val="0"/>
          <w:color w:val="000000"/>
          <w:sz w:val="19"/>
        </w:rPr>
        <w:t>Reconciliation flags are warnings, not automatic candidate exclusions unless a separate hard gate explicitly uses the underlying measure.</w:t>
      </w:r>
    </w:p>
    <w:p>
      <w:pPr>
        <w:pStyle w:val="Heading1"/>
      </w:pPr>
      <w:r>
        <w:t>20. Control Panel: complete runtime configuration</w:t>
      </w:r>
    </w:p>
    <w:p>
      <w:pPr>
        <w:spacing w:after="80" w:line="259" w:lineRule="auto"/>
      </w:pPr>
      <w:r>
        <w:rPr>
          <w:rFonts w:ascii="Calibri" w:hAnsi="Calibri"/>
          <w:b w:val="0"/>
          <w:i w:val="0"/>
          <w:color w:val="000000"/>
          <w:sz w:val="19"/>
        </w:rPr>
        <w:t>The Control Panel is the runtime source of truth for changeable model policy. Before every application, controls are reset to base defaults; supplied rows are then parsed into a temporary configuration and validated. Only a fully valid set is committed. If any value is invalid, the previous/base configuration is restored, so a partly applied panel cannot contaminate a run. Missing panel rows revert to defaults rather than retaining stale values from a previous run.</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shd w:fill="D9EAF7"/>
          </w:tcPr>
          <w:p>
            <w:r>
              <w:rPr>
                <w:rFonts w:ascii="Calibri" w:hAnsi="Calibri"/>
                <w:b/>
                <w:i w:val="0"/>
                <w:color w:val="000000"/>
                <w:sz w:val="16"/>
              </w:rPr>
              <w:t>Section</w:t>
            </w:r>
          </w:p>
        </w:tc>
        <w:tc>
          <w:tcPr>
            <w:tcW w:type="dxa" w:w="2498"/>
            <w:shd w:fill="D9EAF7"/>
          </w:tcPr>
          <w:p>
            <w:r>
              <w:rPr>
                <w:rFonts w:ascii="Calibri" w:hAnsi="Calibri"/>
                <w:b/>
                <w:i w:val="0"/>
                <w:color w:val="000000"/>
                <w:sz w:val="16"/>
              </w:rPr>
              <w:t>Control</w:t>
            </w:r>
          </w:p>
        </w:tc>
        <w:tc>
          <w:tcPr>
            <w:tcW w:type="dxa" w:w="2498"/>
            <w:shd w:fill="D9EAF7"/>
          </w:tcPr>
          <w:p>
            <w:r>
              <w:rPr>
                <w:rFonts w:ascii="Calibri" w:hAnsi="Calibri"/>
                <w:b/>
                <w:i w:val="0"/>
                <w:color w:val="000000"/>
                <w:sz w:val="16"/>
              </w:rPr>
              <w:t>Recorded value</w:t>
            </w:r>
          </w:p>
        </w:tc>
        <w:tc>
          <w:tcPr>
            <w:tcW w:type="dxa" w:w="2498"/>
            <w:shd w:fill="D9EAF7"/>
          </w:tcPr>
          <w:p>
            <w:r>
              <w:rPr>
                <w:rFonts w:ascii="Calibri" w:hAnsi="Calibri"/>
                <w:b/>
                <w:i w:val="0"/>
                <w:color w:val="000000"/>
                <w:sz w:val="16"/>
              </w:rPr>
              <w:t>Meaning</w:t>
            </w:r>
          </w:p>
        </w:tc>
      </w:tr>
      <w:tr>
        <w:trPr>
          <w:cantSplit/>
        </w:trPr>
        <w:tc>
          <w:tcPr>
            <w:tcW w:type="dxa" w:w="2498"/>
          </w:tcPr>
          <w:p>
            <w:pPr>
              <w:spacing w:after="0"/>
            </w:pPr>
            <w:r>
              <w:rPr>
                <w:rFonts w:ascii="Calibri" w:hAnsi="Calibri"/>
                <w:b w:val="0"/>
                <w:i w:val="0"/>
                <w:color w:val="000000"/>
                <w:sz w:val="15"/>
              </w:rPr>
              <w:t>System</w:t>
            </w:r>
          </w:p>
        </w:tc>
        <w:tc>
          <w:tcPr>
            <w:tcW w:type="dxa" w:w="2498"/>
          </w:tcPr>
          <w:p>
            <w:pPr>
              <w:spacing w:after="0"/>
            </w:pPr>
            <w:r>
              <w:rPr>
                <w:rFonts w:ascii="Calibri" w:hAnsi="Calibri"/>
                <w:b w:val="0"/>
                <w:i w:val="0"/>
                <w:color w:val="000000"/>
                <w:sz w:val="15"/>
              </w:rPr>
              <w:t>MODEL_VERSION</w:t>
            </w:r>
          </w:p>
        </w:tc>
        <w:tc>
          <w:tcPr>
            <w:tcW w:type="dxa" w:w="2498"/>
          </w:tcPr>
          <w:p>
            <w:pPr>
              <w:spacing w:after="0"/>
            </w:pPr>
            <w:r>
              <w:rPr>
                <w:rFonts w:ascii="Calibri" w:hAnsi="Calibri"/>
                <w:b w:val="0"/>
                <w:i w:val="0"/>
                <w:color w:val="000000"/>
                <w:sz w:val="15"/>
              </w:rPr>
              <w:t>institutional_three_strategy_v4</w:t>
            </w:r>
          </w:p>
        </w:tc>
        <w:tc>
          <w:tcPr>
            <w:tcW w:type="dxa" w:w="2498"/>
          </w:tcPr>
          <w:p>
            <w:pPr>
              <w:spacing w:after="0"/>
            </w:pPr>
            <w:r>
              <w:rPr>
                <w:rFonts w:ascii="Calibri" w:hAnsi="Calibri"/>
                <w:b w:val="0"/>
                <w:i w:val="0"/>
                <w:color w:val="000000"/>
                <w:sz w:val="15"/>
              </w:rPr>
              <w:t>Model/control schema marker; updated automatically.</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TOP_N_LONG</w:t>
            </w:r>
          </w:p>
        </w:tc>
        <w:tc>
          <w:tcPr>
            <w:tcW w:type="dxa" w:w="2498"/>
          </w:tcPr>
          <w:p>
            <w:pPr>
              <w:spacing w:after="0"/>
            </w:pPr>
            <w:r>
              <w:rPr>
                <w:rFonts w:ascii="Calibri" w:hAnsi="Calibri"/>
                <w:b w:val="0"/>
                <w:i w:val="0"/>
                <w:color w:val="000000"/>
                <w:sz w:val="15"/>
              </w:rPr>
              <w:t>3</w:t>
            </w:r>
          </w:p>
        </w:tc>
        <w:tc>
          <w:tcPr>
            <w:tcW w:type="dxa" w:w="2498"/>
          </w:tcPr>
          <w:p>
            <w:pPr>
              <w:spacing w:after="0"/>
            </w:pPr>
            <w:r>
              <w:rPr>
                <w:rFonts w:ascii="Calibri" w:hAnsi="Calibri"/>
                <w:b w:val="0"/>
                <w:i w:val="0"/>
                <w:color w:val="000000"/>
                <w:sz w:val="15"/>
              </w:rPr>
              <w:t>Maximum selected longs per industry.</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TOP_N_SHORT</w:t>
            </w:r>
          </w:p>
        </w:tc>
        <w:tc>
          <w:tcPr>
            <w:tcW w:type="dxa" w:w="2498"/>
          </w:tcPr>
          <w:p>
            <w:pPr>
              <w:spacing w:after="0"/>
            </w:pPr>
            <w:r>
              <w:rPr>
                <w:rFonts w:ascii="Calibri" w:hAnsi="Calibri"/>
                <w:b w:val="0"/>
                <w:i w:val="0"/>
                <w:color w:val="000000"/>
                <w:sz w:val="15"/>
              </w:rPr>
              <w:t>3</w:t>
            </w:r>
          </w:p>
        </w:tc>
        <w:tc>
          <w:tcPr>
            <w:tcW w:type="dxa" w:w="2498"/>
          </w:tcPr>
          <w:p>
            <w:pPr>
              <w:spacing w:after="0"/>
            </w:pPr>
            <w:r>
              <w:rPr>
                <w:rFonts w:ascii="Calibri" w:hAnsi="Calibri"/>
                <w:b w:val="0"/>
                <w:i w:val="0"/>
                <w:color w:val="000000"/>
                <w:sz w:val="15"/>
              </w:rPr>
              <w:t>Maximum selected shorts per industry.</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MAX_QUANT_LONGS_TOTAL</w:t>
            </w:r>
          </w:p>
        </w:tc>
        <w:tc>
          <w:tcPr>
            <w:tcW w:type="dxa" w:w="2498"/>
          </w:tcPr>
          <w:p>
            <w:pPr>
              <w:spacing w:after="0"/>
            </w:pPr>
            <w:r>
              <w:rPr>
                <w:rFonts w:ascii="Calibri" w:hAnsi="Calibri"/>
                <w:b w:val="0"/>
                <w:i w:val="0"/>
                <w:color w:val="000000"/>
                <w:sz w:val="15"/>
              </w:rPr>
              <w:t>10</w:t>
            </w:r>
          </w:p>
        </w:tc>
        <w:tc>
          <w:tcPr>
            <w:tcW w:type="dxa" w:w="2498"/>
          </w:tcPr>
          <w:p>
            <w:pPr>
              <w:spacing w:after="0"/>
            </w:pPr>
            <w:r>
              <w:rPr>
                <w:rFonts w:ascii="Calibri" w:hAnsi="Calibri"/>
                <w:b w:val="0"/>
                <w:i w:val="0"/>
                <w:color w:val="000000"/>
                <w:sz w:val="15"/>
              </w:rPr>
              <w:t>Maximum quantitative long candidates across the universe.</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MAX_QUANT_SHORTS_TOTAL</w:t>
            </w:r>
          </w:p>
        </w:tc>
        <w:tc>
          <w:tcPr>
            <w:tcW w:type="dxa" w:w="2498"/>
          </w:tcPr>
          <w:p>
            <w:pPr>
              <w:spacing w:after="0"/>
            </w:pPr>
            <w:r>
              <w:rPr>
                <w:rFonts w:ascii="Calibri" w:hAnsi="Calibri"/>
                <w:b w:val="0"/>
                <w:i w:val="0"/>
                <w:color w:val="000000"/>
                <w:sz w:val="15"/>
              </w:rPr>
              <w:t>10</w:t>
            </w:r>
          </w:p>
        </w:tc>
        <w:tc>
          <w:tcPr>
            <w:tcW w:type="dxa" w:w="2498"/>
          </w:tcPr>
          <w:p>
            <w:pPr>
              <w:spacing w:after="0"/>
            </w:pPr>
            <w:r>
              <w:rPr>
                <w:rFonts w:ascii="Calibri" w:hAnsi="Calibri"/>
                <w:b w:val="0"/>
                <w:i w:val="0"/>
                <w:color w:val="000000"/>
                <w:sz w:val="15"/>
              </w:rPr>
              <w:t>Maximum quantitative short candidates across the universe.</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MIN_CANDIDATE_CONFIDENCE</w:t>
            </w:r>
          </w:p>
        </w:tc>
        <w:tc>
          <w:tcPr>
            <w:tcW w:type="dxa" w:w="2498"/>
          </w:tcPr>
          <w:p>
            <w:pPr>
              <w:spacing w:after="0"/>
            </w:pPr>
            <w:r>
              <w:rPr>
                <w:rFonts w:ascii="Calibri" w:hAnsi="Calibri"/>
                <w:b w:val="0"/>
                <w:i w:val="0"/>
                <w:color w:val="000000"/>
                <w:sz w:val="15"/>
              </w:rPr>
              <w:t>85.0</w:t>
            </w:r>
          </w:p>
        </w:tc>
        <w:tc>
          <w:tcPr>
            <w:tcW w:type="dxa" w:w="2498"/>
          </w:tcPr>
          <w:p>
            <w:pPr>
              <w:spacing w:after="0"/>
            </w:pPr>
            <w:r>
              <w:rPr>
                <w:rFonts w:ascii="Calibri" w:hAnsi="Calibri"/>
                <w:b w:val="0"/>
                <w:i w:val="0"/>
                <w:color w:val="000000"/>
                <w:sz w:val="15"/>
              </w:rPr>
              <w:t>Minimum 0-100 score confidence for a quantitative candidate.</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MIN_LONG_SCORE</w:t>
            </w:r>
          </w:p>
        </w:tc>
        <w:tc>
          <w:tcPr>
            <w:tcW w:type="dxa" w:w="2498"/>
          </w:tcPr>
          <w:p>
            <w:pPr>
              <w:spacing w:after="0"/>
            </w:pPr>
            <w:r>
              <w:rPr>
                <w:rFonts w:ascii="Calibri" w:hAnsi="Calibri"/>
                <w:b w:val="0"/>
                <w:i w:val="0"/>
                <w:color w:val="000000"/>
                <w:sz w:val="15"/>
              </w:rPr>
              <w:t>62.0</w:t>
            </w:r>
          </w:p>
        </w:tc>
        <w:tc>
          <w:tcPr>
            <w:tcW w:type="dxa" w:w="2498"/>
          </w:tcPr>
          <w:p>
            <w:pPr>
              <w:spacing w:after="0"/>
            </w:pPr>
            <w:r>
              <w:rPr>
                <w:rFonts w:ascii="Calibri" w:hAnsi="Calibri"/>
                <w:b w:val="0"/>
                <w:i w:val="0"/>
                <w:color w:val="000000"/>
                <w:sz w:val="15"/>
              </w:rPr>
              <w:t>Minimum 0-100 peer-relative score for a long candidate.</w:t>
            </w:r>
          </w:p>
        </w:tc>
      </w:tr>
      <w:tr>
        <w:trPr>
          <w:cantSplit/>
        </w:trPr>
        <w:tc>
          <w:tcPr>
            <w:tcW w:type="dxa" w:w="2498"/>
          </w:tcPr>
          <w:p>
            <w:pPr>
              <w:spacing w:after="0"/>
            </w:pPr>
            <w:r>
              <w:rPr>
                <w:rFonts w:ascii="Calibri" w:hAnsi="Calibri"/>
                <w:b w:val="0"/>
                <w:i w:val="0"/>
                <w:color w:val="000000"/>
                <w:sz w:val="15"/>
              </w:rPr>
              <w:t>Selection</w:t>
            </w:r>
          </w:p>
        </w:tc>
        <w:tc>
          <w:tcPr>
            <w:tcW w:type="dxa" w:w="2498"/>
          </w:tcPr>
          <w:p>
            <w:pPr>
              <w:spacing w:after="0"/>
            </w:pPr>
            <w:r>
              <w:rPr>
                <w:rFonts w:ascii="Calibri" w:hAnsi="Calibri"/>
                <w:b w:val="0"/>
                <w:i w:val="0"/>
                <w:color w:val="000000"/>
                <w:sz w:val="15"/>
              </w:rPr>
              <w:t>MIN_SHORT_SCORE</w:t>
            </w:r>
          </w:p>
        </w:tc>
        <w:tc>
          <w:tcPr>
            <w:tcW w:type="dxa" w:w="2498"/>
          </w:tcPr>
          <w:p>
            <w:pPr>
              <w:spacing w:after="0"/>
            </w:pPr>
            <w:r>
              <w:rPr>
                <w:rFonts w:ascii="Calibri" w:hAnsi="Calibri"/>
                <w:b w:val="0"/>
                <w:i w:val="0"/>
                <w:color w:val="000000"/>
                <w:sz w:val="15"/>
              </w:rPr>
              <w:t>62.0</w:t>
            </w:r>
          </w:p>
        </w:tc>
        <w:tc>
          <w:tcPr>
            <w:tcW w:type="dxa" w:w="2498"/>
          </w:tcPr>
          <w:p>
            <w:pPr>
              <w:spacing w:after="0"/>
            </w:pPr>
            <w:r>
              <w:rPr>
                <w:rFonts w:ascii="Calibri" w:hAnsi="Calibri"/>
                <w:b w:val="0"/>
                <w:i w:val="0"/>
                <w:color w:val="000000"/>
                <w:sz w:val="15"/>
              </w:rPr>
              <w:t>Minimum 0-100 peer-relative score for a short candidate.</w:t>
            </w:r>
          </w:p>
        </w:tc>
      </w:tr>
      <w:tr>
        <w:trPr>
          <w:cantSplit/>
        </w:trPr>
        <w:tc>
          <w:tcPr>
            <w:tcW w:type="dxa" w:w="2498"/>
          </w:tcPr>
          <w:p>
            <w:pPr>
              <w:spacing w:after="0"/>
            </w:pPr>
            <w:r>
              <w:rPr>
                <w:rFonts w:ascii="Calibri" w:hAnsi="Calibri"/>
                <w:b w:val="0"/>
                <w:i w:val="0"/>
                <w:color w:val="000000"/>
                <w:sz w:val="15"/>
              </w:rPr>
              <w:t>Peer model</w:t>
            </w:r>
          </w:p>
        </w:tc>
        <w:tc>
          <w:tcPr>
            <w:tcW w:type="dxa" w:w="2498"/>
          </w:tcPr>
          <w:p>
            <w:pPr>
              <w:spacing w:after="0"/>
            </w:pPr>
            <w:r>
              <w:rPr>
                <w:rFonts w:ascii="Calibri" w:hAnsi="Calibri"/>
                <w:b w:val="0"/>
                <w:i w:val="0"/>
                <w:color w:val="000000"/>
                <w:sz w:val="15"/>
              </w:rPr>
              <w:t>MIN_VALID_FACTOR_OBSERVATIONS</w:t>
            </w:r>
          </w:p>
        </w:tc>
        <w:tc>
          <w:tcPr>
            <w:tcW w:type="dxa" w:w="2498"/>
          </w:tcPr>
          <w:p>
            <w:pPr>
              <w:spacing w:after="0"/>
            </w:pPr>
            <w:r>
              <w:rPr>
                <w:rFonts w:ascii="Calibri" w:hAnsi="Calibri"/>
                <w:b w:val="0"/>
                <w:i w:val="0"/>
                <w:color w:val="000000"/>
                <w:sz w:val="15"/>
              </w:rPr>
              <w:t>10</w:t>
            </w:r>
          </w:p>
        </w:tc>
        <w:tc>
          <w:tcPr>
            <w:tcW w:type="dxa" w:w="2498"/>
          </w:tcPr>
          <w:p>
            <w:pPr>
              <w:spacing w:after="0"/>
            </w:pPr>
            <w:r>
              <w:rPr>
                <w:rFonts w:ascii="Calibri" w:hAnsi="Calibri"/>
                <w:b w:val="0"/>
                <w:i w:val="0"/>
                <w:color w:val="000000"/>
                <w:sz w:val="15"/>
              </w:rPr>
              <w:t>Minimum valid sector observations; below this the factor is unscored—never compared with the whole US universe.</w:t>
            </w:r>
          </w:p>
        </w:tc>
      </w:tr>
      <w:tr>
        <w:trPr>
          <w:cantSplit/>
        </w:trPr>
        <w:tc>
          <w:tcPr>
            <w:tcW w:type="dxa" w:w="2498"/>
          </w:tcPr>
          <w:p>
            <w:pPr>
              <w:spacing w:after="0"/>
            </w:pPr>
            <w:r>
              <w:rPr>
                <w:rFonts w:ascii="Calibri" w:hAnsi="Calibri"/>
                <w:b w:val="0"/>
                <w:i w:val="0"/>
                <w:color w:val="000000"/>
                <w:sz w:val="15"/>
              </w:rPr>
              <w:t>Peer model</w:t>
            </w:r>
          </w:p>
        </w:tc>
        <w:tc>
          <w:tcPr>
            <w:tcW w:type="dxa" w:w="2498"/>
          </w:tcPr>
          <w:p>
            <w:pPr>
              <w:spacing w:after="0"/>
            </w:pPr>
            <w:r>
              <w:rPr>
                <w:rFonts w:ascii="Calibri" w:hAnsi="Calibri"/>
                <w:b w:val="0"/>
                <w:i w:val="0"/>
                <w:color w:val="000000"/>
                <w:sz w:val="15"/>
              </w:rPr>
              <w:t>PEER_SHRINKAGE_STRENGTH</w:t>
            </w:r>
          </w:p>
        </w:tc>
        <w:tc>
          <w:tcPr>
            <w:tcW w:type="dxa" w:w="2498"/>
          </w:tcPr>
          <w:p>
            <w:pPr>
              <w:spacing w:after="0"/>
            </w:pPr>
            <w:r>
              <w:rPr>
                <w:rFonts w:ascii="Calibri" w:hAnsi="Calibri"/>
                <w:b w:val="0"/>
                <w:i w:val="0"/>
                <w:color w:val="000000"/>
                <w:sz w:val="15"/>
              </w:rPr>
              <w:t>10.0</w:t>
            </w:r>
          </w:p>
        </w:tc>
        <w:tc>
          <w:tcPr>
            <w:tcW w:type="dxa" w:w="2498"/>
          </w:tcPr>
          <w:p>
            <w:pPr>
              <w:spacing w:after="0"/>
            </w:pPr>
            <w:r>
              <w:rPr>
                <w:rFonts w:ascii="Calibri" w:hAnsi="Calibri"/>
                <w:b w:val="0"/>
                <w:i w:val="0"/>
                <w:color w:val="000000"/>
                <w:sz w:val="15"/>
              </w:rPr>
              <w:t>Industry shrinkage k: industry weight = n/(n+k).</w:t>
            </w:r>
          </w:p>
        </w:tc>
      </w:tr>
      <w:tr>
        <w:trPr>
          <w:cantSplit/>
        </w:trPr>
        <w:tc>
          <w:tcPr>
            <w:tcW w:type="dxa" w:w="2498"/>
          </w:tcPr>
          <w:p>
            <w:pPr>
              <w:spacing w:after="0"/>
            </w:pPr>
            <w:r>
              <w:rPr>
                <w:rFonts w:ascii="Calibri" w:hAnsi="Calibri"/>
                <w:b w:val="0"/>
                <w:i w:val="0"/>
                <w:color w:val="000000"/>
                <w:sz w:val="15"/>
              </w:rPr>
              <w:t>Peer model</w:t>
            </w:r>
          </w:p>
        </w:tc>
        <w:tc>
          <w:tcPr>
            <w:tcW w:type="dxa" w:w="2498"/>
          </w:tcPr>
          <w:p>
            <w:pPr>
              <w:spacing w:after="0"/>
            </w:pPr>
            <w:r>
              <w:rPr>
                <w:rFonts w:ascii="Calibri" w:hAnsi="Calibri"/>
                <w:b w:val="0"/>
                <w:i w:val="0"/>
                <w:color w:val="000000"/>
                <w:sz w:val="15"/>
              </w:rPr>
              <w:t>PEER_Z_SCORE_CAP</w:t>
            </w:r>
          </w:p>
        </w:tc>
        <w:tc>
          <w:tcPr>
            <w:tcW w:type="dxa" w:w="2498"/>
          </w:tcPr>
          <w:p>
            <w:pPr>
              <w:spacing w:after="0"/>
            </w:pPr>
            <w:r>
              <w:rPr>
                <w:rFonts w:ascii="Calibri" w:hAnsi="Calibri"/>
                <w:b w:val="0"/>
                <w:i w:val="0"/>
                <w:color w:val="000000"/>
                <w:sz w:val="15"/>
              </w:rPr>
              <w:t>2.5</w:t>
            </w:r>
          </w:p>
        </w:tc>
        <w:tc>
          <w:tcPr>
            <w:tcW w:type="dxa" w:w="2498"/>
          </w:tcPr>
          <w:p>
            <w:pPr>
              <w:spacing w:after="0"/>
            </w:pPr>
            <w:r>
              <w:rPr>
                <w:rFonts w:ascii="Calibri" w:hAnsi="Calibri"/>
                <w:b w:val="0"/>
                <w:i w:val="0"/>
                <w:color w:val="000000"/>
                <w:sz w:val="15"/>
              </w:rPr>
              <w:t>Absolute z-score mapped to the 0/100 score endpoints.</w:t>
            </w:r>
          </w:p>
        </w:tc>
      </w:tr>
      <w:tr>
        <w:trPr>
          <w:cantSplit/>
        </w:trPr>
        <w:tc>
          <w:tcPr>
            <w:tcW w:type="dxa" w:w="2498"/>
          </w:tcPr>
          <w:p>
            <w:pPr>
              <w:spacing w:after="0"/>
            </w:pPr>
            <w:r>
              <w:rPr>
                <w:rFonts w:ascii="Calibri" w:hAnsi="Calibri"/>
                <w:b w:val="0"/>
                <w:i w:val="0"/>
                <w:color w:val="000000"/>
                <w:sz w:val="15"/>
              </w:rPr>
              <w:t>Peer model</w:t>
            </w:r>
          </w:p>
        </w:tc>
        <w:tc>
          <w:tcPr>
            <w:tcW w:type="dxa" w:w="2498"/>
          </w:tcPr>
          <w:p>
            <w:pPr>
              <w:spacing w:after="0"/>
            </w:pPr>
            <w:r>
              <w:rPr>
                <w:rFonts w:ascii="Calibri" w:hAnsi="Calibri"/>
                <w:b w:val="0"/>
                <w:i w:val="0"/>
                <w:color w:val="000000"/>
                <w:sz w:val="15"/>
              </w:rPr>
              <w:t>PEER_PERCENTILE_WEIGHT</w:t>
            </w:r>
          </w:p>
        </w:tc>
        <w:tc>
          <w:tcPr>
            <w:tcW w:type="dxa" w:w="2498"/>
          </w:tcPr>
          <w:p>
            <w:pPr>
              <w:spacing w:after="0"/>
            </w:pPr>
            <w:r>
              <w:rPr>
                <w:rFonts w:ascii="Calibri" w:hAnsi="Calibri"/>
                <w:b w:val="0"/>
                <w:i w:val="0"/>
                <w:color w:val="000000"/>
                <w:sz w:val="15"/>
              </w:rPr>
              <w:t>0.6</w:t>
            </w:r>
          </w:p>
        </w:tc>
        <w:tc>
          <w:tcPr>
            <w:tcW w:type="dxa" w:w="2498"/>
          </w:tcPr>
          <w:p>
            <w:pPr>
              <w:spacing w:after="0"/>
            </w:pPr>
            <w:r>
              <w:rPr>
                <w:rFonts w:ascii="Calibri" w:hAnsi="Calibri"/>
                <w:b w:val="0"/>
                <w:i w:val="0"/>
                <w:color w:val="000000"/>
                <w:sz w:val="15"/>
              </w:rPr>
              <w:t>Weight on robust empirical percentile; the remainder uses capped robust z (classical z fallback when MAD is zero).</w:t>
            </w:r>
          </w:p>
        </w:tc>
      </w:tr>
      <w:tr>
        <w:trPr>
          <w:cantSplit/>
        </w:trPr>
        <w:tc>
          <w:tcPr>
            <w:tcW w:type="dxa" w:w="2498"/>
          </w:tcPr>
          <w:p>
            <w:pPr>
              <w:spacing w:after="0"/>
            </w:pPr>
            <w:r>
              <w:rPr>
                <w:rFonts w:ascii="Calibri" w:hAnsi="Calibri"/>
                <w:b w:val="0"/>
                <w:i w:val="0"/>
                <w:color w:val="000000"/>
                <w:sz w:val="15"/>
              </w:rPr>
              <w:t>Coverage</w:t>
            </w:r>
          </w:p>
        </w:tc>
        <w:tc>
          <w:tcPr>
            <w:tcW w:type="dxa" w:w="2498"/>
          </w:tcPr>
          <w:p>
            <w:pPr>
              <w:spacing w:after="0"/>
            </w:pPr>
            <w:r>
              <w:rPr>
                <w:rFonts w:ascii="Calibri" w:hAnsi="Calibri"/>
                <w:b w:val="0"/>
                <w:i w:val="0"/>
                <w:color w:val="000000"/>
                <w:sz w:val="15"/>
              </w:rPr>
              <w:t>MIN_FACTOR_COVERAGE</w:t>
            </w:r>
          </w:p>
        </w:tc>
        <w:tc>
          <w:tcPr>
            <w:tcW w:type="dxa" w:w="2498"/>
          </w:tcPr>
          <w:p>
            <w:pPr>
              <w:spacing w:after="0"/>
            </w:pPr>
            <w:r>
              <w:rPr>
                <w:rFonts w:ascii="Calibri" w:hAnsi="Calibri"/>
                <w:b w:val="0"/>
                <w:i w:val="0"/>
                <w:color w:val="000000"/>
                <w:sz w:val="15"/>
              </w:rPr>
              <w:t>0.75</w:t>
            </w:r>
          </w:p>
        </w:tc>
        <w:tc>
          <w:tcPr>
            <w:tcW w:type="dxa" w:w="2498"/>
          </w:tcPr>
          <w:p>
            <w:pPr>
              <w:spacing w:after="0"/>
            </w:pPr>
            <w:r>
              <w:rPr>
                <w:rFonts w:ascii="Calibri" w:hAnsi="Calibri"/>
                <w:b w:val="0"/>
                <w:i w:val="0"/>
                <w:color w:val="000000"/>
                <w:sz w:val="15"/>
              </w:rPr>
              <w:t>Minimum scored-factor coverage required for a final score.</w:t>
            </w:r>
          </w:p>
        </w:tc>
      </w:tr>
      <w:tr>
        <w:trPr>
          <w:cantSplit/>
        </w:trPr>
        <w:tc>
          <w:tcPr>
            <w:tcW w:type="dxa" w:w="2498"/>
          </w:tcPr>
          <w:p>
            <w:pPr>
              <w:spacing w:after="0"/>
            </w:pPr>
            <w:r>
              <w:rPr>
                <w:rFonts w:ascii="Calibri" w:hAnsi="Calibri"/>
                <w:b w:val="0"/>
                <w:i w:val="0"/>
                <w:color w:val="000000"/>
                <w:sz w:val="15"/>
              </w:rPr>
              <w:t>Coverage</w:t>
            </w:r>
          </w:p>
        </w:tc>
        <w:tc>
          <w:tcPr>
            <w:tcW w:type="dxa" w:w="2498"/>
          </w:tcPr>
          <w:p>
            <w:pPr>
              <w:spacing w:after="0"/>
            </w:pPr>
            <w:r>
              <w:rPr>
                <w:rFonts w:ascii="Calibri" w:hAnsi="Calibri"/>
                <w:b w:val="0"/>
                <w:i w:val="0"/>
                <w:color w:val="000000"/>
                <w:sz w:val="15"/>
              </w:rPr>
              <w:t>MIN_FAMILY_COVERAGE</w:t>
            </w:r>
          </w:p>
        </w:tc>
        <w:tc>
          <w:tcPr>
            <w:tcW w:type="dxa" w:w="2498"/>
          </w:tcPr>
          <w:p>
            <w:pPr>
              <w:spacing w:after="0"/>
            </w:pPr>
            <w:r>
              <w:rPr>
                <w:rFonts w:ascii="Calibri" w:hAnsi="Calibri"/>
                <w:b w:val="0"/>
                <w:i w:val="0"/>
                <w:color w:val="000000"/>
                <w:sz w:val="15"/>
              </w:rPr>
              <w:t>0.6</w:t>
            </w:r>
          </w:p>
        </w:tc>
        <w:tc>
          <w:tcPr>
            <w:tcW w:type="dxa" w:w="2498"/>
          </w:tcPr>
          <w:p>
            <w:pPr>
              <w:spacing w:after="0"/>
            </w:pPr>
            <w:r>
              <w:rPr>
                <w:rFonts w:ascii="Calibri" w:hAnsi="Calibri"/>
                <w:b w:val="0"/>
                <w:i w:val="0"/>
                <w:color w:val="000000"/>
                <w:sz w:val="15"/>
              </w:rPr>
              <w:t>Minimum within-family group coverage required to admit that family.</w:t>
            </w:r>
          </w:p>
        </w:tc>
      </w:tr>
      <w:tr>
        <w:trPr>
          <w:cantSplit/>
        </w:trPr>
        <w:tc>
          <w:tcPr>
            <w:tcW w:type="dxa" w:w="2498"/>
          </w:tcPr>
          <w:p>
            <w:pPr>
              <w:spacing w:after="0"/>
            </w:pPr>
            <w:r>
              <w:rPr>
                <w:rFonts w:ascii="Calibri" w:hAnsi="Calibri"/>
                <w:b w:val="0"/>
                <w:i w:val="0"/>
                <w:color w:val="000000"/>
                <w:sz w:val="15"/>
              </w:rPr>
              <w:t>Strategy coverage</w:t>
            </w:r>
          </w:p>
        </w:tc>
        <w:tc>
          <w:tcPr>
            <w:tcW w:type="dxa" w:w="2498"/>
          </w:tcPr>
          <w:p>
            <w:pPr>
              <w:spacing w:after="0"/>
            </w:pPr>
            <w:r>
              <w:rPr>
                <w:rFonts w:ascii="Calibri" w:hAnsi="Calibri"/>
                <w:b w:val="0"/>
                <w:i w:val="0"/>
                <w:color w:val="000000"/>
                <w:sz w:val="15"/>
              </w:rPr>
              <w:t>MIN_STRATEGY_WEIGHT_COVERAGE</w:t>
            </w:r>
          </w:p>
        </w:tc>
        <w:tc>
          <w:tcPr>
            <w:tcW w:type="dxa" w:w="2498"/>
          </w:tcPr>
          <w:p>
            <w:pPr>
              <w:spacing w:after="0"/>
            </w:pPr>
            <w:r>
              <w:rPr>
                <w:rFonts w:ascii="Calibri" w:hAnsi="Calibri"/>
                <w:b w:val="0"/>
                <w:i w:val="0"/>
                <w:color w:val="000000"/>
                <w:sz w:val="15"/>
              </w:rPr>
              <w:t>0.75</w:t>
            </w:r>
          </w:p>
        </w:tc>
        <w:tc>
          <w:tcPr>
            <w:tcW w:type="dxa" w:w="2498"/>
          </w:tcPr>
          <w:p>
            <w:pPr>
              <w:spacing w:after="0"/>
            </w:pPr>
            <w:r>
              <w:rPr>
                <w:rFonts w:ascii="Calibri" w:hAnsi="Calibri"/>
                <w:b w:val="0"/>
                <w:i w:val="0"/>
                <w:color w:val="000000"/>
                <w:sz w:val="15"/>
              </w:rPr>
              <w:t>Minimum proportion of positive configured strategy weight that must have a valid family sub-score.</w:t>
            </w:r>
          </w:p>
        </w:tc>
      </w:tr>
      <w:tr>
        <w:trPr>
          <w:cantSplit/>
        </w:trPr>
        <w:tc>
          <w:tcPr>
            <w:tcW w:type="dxa" w:w="2498"/>
          </w:tcPr>
          <w:p>
            <w:pPr>
              <w:spacing w:after="0"/>
            </w:pPr>
            <w:r>
              <w:rPr>
                <w:rFonts w:ascii="Calibri" w:hAnsi="Calibri"/>
                <w:b w:val="0"/>
                <w:i w:val="0"/>
                <w:color w:val="000000"/>
                <w:sz w:val="15"/>
              </w:rPr>
              <w:t>Strategy coverage</w:t>
            </w:r>
          </w:p>
        </w:tc>
        <w:tc>
          <w:tcPr>
            <w:tcW w:type="dxa" w:w="2498"/>
          </w:tcPr>
          <w:p>
            <w:pPr>
              <w:spacing w:after="0"/>
            </w:pPr>
            <w:r>
              <w:rPr>
                <w:rFonts w:ascii="Calibri" w:hAnsi="Calibri"/>
                <w:b w:val="0"/>
                <w:i w:val="0"/>
                <w:color w:val="000000"/>
                <w:sz w:val="15"/>
              </w:rPr>
              <w:t>MIN_STRATEGY_COMPONENTS</w:t>
            </w:r>
          </w:p>
        </w:tc>
        <w:tc>
          <w:tcPr>
            <w:tcW w:type="dxa" w:w="2498"/>
          </w:tcPr>
          <w:p>
            <w:pPr>
              <w:spacing w:after="0"/>
            </w:pPr>
            <w:r>
              <w:rPr>
                <w:rFonts w:ascii="Calibri" w:hAnsi="Calibri"/>
                <w:b w:val="0"/>
                <w:i w:val="0"/>
                <w:color w:val="000000"/>
                <w:sz w:val="15"/>
              </w:rPr>
              <w:t>5</w:t>
            </w:r>
          </w:p>
        </w:tc>
        <w:tc>
          <w:tcPr>
            <w:tcW w:type="dxa" w:w="2498"/>
          </w:tcPr>
          <w:p>
            <w:pPr>
              <w:spacing w:after="0"/>
            </w:pPr>
            <w:r>
              <w:rPr>
                <w:rFonts w:ascii="Calibri" w:hAnsi="Calibri"/>
                <w:b w:val="0"/>
                <w:i w:val="0"/>
                <w:color w:val="000000"/>
                <w:sz w:val="15"/>
              </w:rPr>
              <w:t>Minimum number of positively weighted family components required for a strategy score.</w:t>
            </w:r>
          </w:p>
        </w:tc>
      </w:tr>
      <w:tr>
        <w:trPr>
          <w:cantSplit/>
        </w:trPr>
        <w:tc>
          <w:tcPr>
            <w:tcW w:type="dxa" w:w="2498"/>
          </w:tcPr>
          <w:p>
            <w:pPr>
              <w:spacing w:after="0"/>
            </w:pPr>
            <w:r>
              <w:rPr>
                <w:rFonts w:ascii="Calibri" w:hAnsi="Calibri"/>
                <w:b w:val="0"/>
                <w:i w:val="0"/>
                <w:color w:val="000000"/>
                <w:sz w:val="15"/>
              </w:rPr>
              <w:t>Strategy selection</w:t>
            </w:r>
          </w:p>
        </w:tc>
        <w:tc>
          <w:tcPr>
            <w:tcW w:type="dxa" w:w="2498"/>
          </w:tcPr>
          <w:p>
            <w:pPr>
              <w:spacing w:after="0"/>
            </w:pPr>
            <w:r>
              <w:rPr>
                <w:rFonts w:ascii="Calibri" w:hAnsi="Calibri"/>
                <w:b w:val="0"/>
                <w:i w:val="0"/>
                <w:color w:val="000000"/>
                <w:sz w:val="15"/>
              </w:rPr>
              <w:t>MIN_STRATEGY_SCORE</w:t>
            </w:r>
          </w:p>
        </w:tc>
        <w:tc>
          <w:tcPr>
            <w:tcW w:type="dxa" w:w="2498"/>
          </w:tcPr>
          <w:p>
            <w:pPr>
              <w:spacing w:after="0"/>
            </w:pPr>
            <w:r>
              <w:rPr>
                <w:rFonts w:ascii="Calibri" w:hAnsi="Calibri"/>
                <w:b w:val="0"/>
                <w:i w:val="0"/>
                <w:color w:val="000000"/>
                <w:sz w:val="15"/>
              </w:rPr>
              <w:t>60.0</w:t>
            </w:r>
          </w:p>
        </w:tc>
        <w:tc>
          <w:tcPr>
            <w:tcW w:type="dxa" w:w="2498"/>
          </w:tcPr>
          <w:p>
            <w:pPr>
              <w:spacing w:after="0"/>
            </w:pPr>
            <w:r>
              <w:rPr>
                <w:rFonts w:ascii="Calibri" w:hAnsi="Calibri"/>
                <w:b w:val="0"/>
                <w:i w:val="0"/>
                <w:color w:val="000000"/>
                <w:sz w:val="15"/>
              </w:rPr>
              <w:t>Minimum final 0-100 score shown in a strategy summary.</w:t>
            </w:r>
          </w:p>
        </w:tc>
      </w:tr>
      <w:tr>
        <w:trPr>
          <w:cantSplit/>
        </w:trPr>
        <w:tc>
          <w:tcPr>
            <w:tcW w:type="dxa" w:w="2498"/>
          </w:tcPr>
          <w:p>
            <w:pPr>
              <w:spacing w:after="0"/>
            </w:pPr>
            <w:r>
              <w:rPr>
                <w:rFonts w:ascii="Calibri" w:hAnsi="Calibri"/>
                <w:b w:val="0"/>
                <w:i w:val="0"/>
                <w:color w:val="000000"/>
                <w:sz w:val="15"/>
              </w:rPr>
              <w:t>Strategy selection</w:t>
            </w:r>
          </w:p>
        </w:tc>
        <w:tc>
          <w:tcPr>
            <w:tcW w:type="dxa" w:w="2498"/>
          </w:tcPr>
          <w:p>
            <w:pPr>
              <w:spacing w:after="0"/>
            </w:pPr>
            <w:r>
              <w:rPr>
                <w:rFonts w:ascii="Calibri" w:hAnsi="Calibri"/>
                <w:b w:val="0"/>
                <w:i w:val="0"/>
                <w:color w:val="000000"/>
                <w:sz w:val="15"/>
              </w:rPr>
              <w:t>STRATEGY_SUMMARY_TOP_N</w:t>
            </w:r>
          </w:p>
        </w:tc>
        <w:tc>
          <w:tcPr>
            <w:tcW w:type="dxa" w:w="2498"/>
          </w:tcPr>
          <w:p>
            <w:pPr>
              <w:spacing w:after="0"/>
            </w:pPr>
            <w:r>
              <w:rPr>
                <w:rFonts w:ascii="Calibri" w:hAnsi="Calibri"/>
                <w:b w:val="0"/>
                <w:i w:val="0"/>
                <w:color w:val="000000"/>
                <w:sz w:val="15"/>
              </w:rPr>
              <w:t>50</w:t>
            </w:r>
          </w:p>
        </w:tc>
        <w:tc>
          <w:tcPr>
            <w:tcW w:type="dxa" w:w="2498"/>
          </w:tcPr>
          <w:p>
            <w:pPr>
              <w:spacing w:after="0"/>
            </w:pPr>
            <w:r>
              <w:rPr>
                <w:rFonts w:ascii="Calibri" w:hAnsi="Calibri"/>
                <w:b w:val="0"/>
                <w:i w:val="0"/>
                <w:color w:val="000000"/>
                <w:sz w:val="15"/>
              </w:rPr>
              <w:t>Maximum stocks shown on each cross-universe strategy summary.</w:t>
            </w:r>
          </w:p>
        </w:tc>
      </w:tr>
      <w:tr>
        <w:trPr>
          <w:cantSplit/>
        </w:trPr>
        <w:tc>
          <w:tcPr>
            <w:tcW w:type="dxa" w:w="2498"/>
          </w:tcPr>
          <w:p>
            <w:pPr>
              <w:spacing w:after="0"/>
            </w:pPr>
            <w:r>
              <w:rPr>
                <w:rFonts w:ascii="Calibri" w:hAnsi="Calibri"/>
                <w:b w:val="0"/>
                <w:i w:val="0"/>
                <w:color w:val="000000"/>
                <w:sz w:val="15"/>
              </w:rPr>
              <w:t>Turnaround gate</w:t>
            </w:r>
          </w:p>
        </w:tc>
        <w:tc>
          <w:tcPr>
            <w:tcW w:type="dxa" w:w="2498"/>
          </w:tcPr>
          <w:p>
            <w:pPr>
              <w:spacing w:after="0"/>
            </w:pPr>
            <w:r>
              <w:rPr>
                <w:rFonts w:ascii="Calibri" w:hAnsi="Calibri"/>
                <w:b w:val="0"/>
                <w:i w:val="0"/>
                <w:color w:val="000000"/>
                <w:sz w:val="15"/>
              </w:rPr>
              <w:t>TURNAROUND_MIN_INFLECTION_SCORE</w:t>
            </w:r>
          </w:p>
        </w:tc>
        <w:tc>
          <w:tcPr>
            <w:tcW w:type="dxa" w:w="2498"/>
          </w:tcPr>
          <w:p>
            <w:pPr>
              <w:spacing w:after="0"/>
            </w:pPr>
            <w:r>
              <w:rPr>
                <w:rFonts w:ascii="Calibri" w:hAnsi="Calibri"/>
                <w:b w:val="0"/>
                <w:i w:val="0"/>
                <w:color w:val="000000"/>
                <w:sz w:val="15"/>
              </w:rPr>
              <w:t>60.0</w:t>
            </w:r>
          </w:p>
        </w:tc>
        <w:tc>
          <w:tcPr>
            <w:tcW w:type="dxa" w:w="2498"/>
          </w:tcPr>
          <w:p>
            <w:pPr>
              <w:spacing w:after="0"/>
            </w:pPr>
            <w:r>
              <w:rPr>
                <w:rFonts w:ascii="Calibri" w:hAnsi="Calibri"/>
                <w:b w:val="0"/>
                <w:i w:val="0"/>
                <w:color w:val="000000"/>
                <w:sz w:val="15"/>
              </w:rPr>
              <w:t>Minimum weighted 0-100 Growth/Estimates/Market inflection score required for Turnaround eligibility.</w:t>
            </w:r>
          </w:p>
        </w:tc>
      </w:tr>
      <w:tr>
        <w:trPr>
          <w:cantSplit/>
        </w:trPr>
        <w:tc>
          <w:tcPr>
            <w:tcW w:type="dxa" w:w="2498"/>
          </w:tcPr>
          <w:p>
            <w:pPr>
              <w:spacing w:after="0"/>
            </w:pPr>
            <w:r>
              <w:rPr>
                <w:rFonts w:ascii="Calibri" w:hAnsi="Calibri"/>
                <w:b w:val="0"/>
                <w:i w:val="0"/>
                <w:color w:val="000000"/>
                <w:sz w:val="15"/>
              </w:rPr>
              <w:t>Turnaround gate</w:t>
            </w:r>
          </w:p>
        </w:tc>
        <w:tc>
          <w:tcPr>
            <w:tcW w:type="dxa" w:w="2498"/>
          </w:tcPr>
          <w:p>
            <w:pPr>
              <w:spacing w:after="0"/>
            </w:pPr>
            <w:r>
              <w:rPr>
                <w:rFonts w:ascii="Calibri" w:hAnsi="Calibri"/>
                <w:b w:val="0"/>
                <w:i w:val="0"/>
                <w:color w:val="000000"/>
                <w:sz w:val="15"/>
              </w:rPr>
              <w:t>TURNAROUND_MIN_INFLECTION_COMPONENTS</w:t>
            </w:r>
          </w:p>
        </w:tc>
        <w:tc>
          <w:tcPr>
            <w:tcW w:type="dxa" w:w="2498"/>
          </w:tcPr>
          <w:p>
            <w:pPr>
              <w:spacing w:after="0"/>
            </w:pPr>
            <w:r>
              <w:rPr>
                <w:rFonts w:ascii="Calibri" w:hAnsi="Calibri"/>
                <w:b w:val="0"/>
                <w:i w:val="0"/>
                <w:color w:val="000000"/>
                <w:sz w:val="15"/>
              </w:rPr>
              <w:t>2</w:t>
            </w:r>
          </w:p>
        </w:tc>
        <w:tc>
          <w:tcPr>
            <w:tcW w:type="dxa" w:w="2498"/>
          </w:tcPr>
          <w:p>
            <w:pPr>
              <w:spacing w:after="0"/>
            </w:pPr>
            <w:r>
              <w:rPr>
                <w:rFonts w:ascii="Calibri" w:hAnsi="Calibri"/>
                <w:b w:val="0"/>
                <w:i w:val="0"/>
                <w:color w:val="000000"/>
                <w:sz w:val="15"/>
              </w:rPr>
              <w:t>Minimum valid inflection families required; Growth or Estimates must also score at least the inflection threshold.</w:t>
            </w:r>
          </w:p>
        </w:tc>
      </w:tr>
      <w:tr>
        <w:trPr>
          <w:cantSplit/>
        </w:trPr>
        <w:tc>
          <w:tcPr>
            <w:tcW w:type="dxa" w:w="2498"/>
          </w:tcPr>
          <w:p>
            <w:pPr>
              <w:spacing w:after="0"/>
            </w:pPr>
            <w:r>
              <w:rPr>
                <w:rFonts w:ascii="Calibri" w:hAnsi="Calibri"/>
                <w:b w:val="0"/>
                <w:i w:val="0"/>
                <w:color w:val="000000"/>
                <w:sz w:val="15"/>
              </w:rPr>
              <w:t>Liquidity</w:t>
            </w:r>
          </w:p>
        </w:tc>
        <w:tc>
          <w:tcPr>
            <w:tcW w:type="dxa" w:w="2498"/>
          </w:tcPr>
          <w:p>
            <w:pPr>
              <w:spacing w:after="0"/>
            </w:pPr>
            <w:r>
              <w:rPr>
                <w:rFonts w:ascii="Calibri" w:hAnsi="Calibri"/>
                <w:b w:val="0"/>
                <w:i w:val="0"/>
                <w:color w:val="000000"/>
                <w:sz w:val="15"/>
              </w:rPr>
              <w:t>LIQUIDITY_DISTRESS_Z_THRESHOLD</w:t>
            </w:r>
          </w:p>
        </w:tc>
        <w:tc>
          <w:tcPr>
            <w:tcW w:type="dxa" w:w="2498"/>
          </w:tcPr>
          <w:p>
            <w:pPr>
              <w:spacing w:after="0"/>
            </w:pPr>
            <w:r>
              <w:rPr>
                <w:rFonts w:ascii="Calibri" w:hAnsi="Calibri"/>
                <w:b w:val="0"/>
                <w:i w:val="0"/>
                <w:color w:val="000000"/>
                <w:sz w:val="15"/>
              </w:rPr>
              <w:t>-1.0</w:t>
            </w:r>
          </w:p>
        </w:tc>
        <w:tc>
          <w:tcPr>
            <w:tcW w:type="dxa" w:w="2498"/>
          </w:tcPr>
          <w:p>
            <w:pPr>
              <w:spacing w:after="0"/>
            </w:pPr>
            <w:r>
              <w:rPr>
                <w:rFonts w:ascii="Calibri" w:hAnsi="Calibri"/>
                <w:b w:val="0"/>
                <w:i w:val="0"/>
                <w:color w:val="000000"/>
                <w:sz w:val="15"/>
              </w:rPr>
              <w:t>Low-tail peer z below which current/quick/cash ratios become distress evidence.</w:t>
            </w:r>
          </w:p>
        </w:tc>
      </w:tr>
      <w:tr>
        <w:trPr>
          <w:cantSplit/>
        </w:trPr>
        <w:tc>
          <w:tcPr>
            <w:tcW w:type="dxa" w:w="2498"/>
          </w:tcPr>
          <w:p>
            <w:pPr>
              <w:spacing w:after="0"/>
            </w:pPr>
            <w:r>
              <w:rPr>
                <w:rFonts w:ascii="Calibri" w:hAnsi="Calibri"/>
                <w:b w:val="0"/>
                <w:i w:val="0"/>
                <w:color w:val="000000"/>
                <w:sz w:val="15"/>
              </w:rPr>
              <w:t>Liquidity</w:t>
            </w:r>
          </w:p>
        </w:tc>
        <w:tc>
          <w:tcPr>
            <w:tcW w:type="dxa" w:w="2498"/>
          </w:tcPr>
          <w:p>
            <w:pPr>
              <w:spacing w:after="0"/>
            </w:pPr>
            <w:r>
              <w:rPr>
                <w:rFonts w:ascii="Calibri" w:hAnsi="Calibri"/>
                <w:b w:val="0"/>
                <w:i w:val="0"/>
                <w:color w:val="000000"/>
                <w:sz w:val="15"/>
              </w:rPr>
              <w:t>LIQUIDITY_DISTRESS_FLOOR_SCORE</w:t>
            </w:r>
          </w:p>
        </w:tc>
        <w:tc>
          <w:tcPr>
            <w:tcW w:type="dxa" w:w="2498"/>
          </w:tcPr>
          <w:p>
            <w:pPr>
              <w:spacing w:after="0"/>
            </w:pPr>
            <w:r>
              <w:rPr>
                <w:rFonts w:ascii="Calibri" w:hAnsi="Calibri"/>
                <w:b w:val="0"/>
                <w:i w:val="0"/>
                <w:color w:val="000000"/>
                <w:sz w:val="15"/>
              </w:rPr>
              <w:t>0.0</w:t>
            </w:r>
          </w:p>
        </w:tc>
        <w:tc>
          <w:tcPr>
            <w:tcW w:type="dxa" w:w="2498"/>
          </w:tcPr>
          <w:p>
            <w:pPr>
              <w:spacing w:after="0"/>
            </w:pPr>
            <w:r>
              <w:rPr>
                <w:rFonts w:ascii="Calibri" w:hAnsi="Calibri"/>
                <w:b w:val="0"/>
                <w:i w:val="0"/>
                <w:color w:val="000000"/>
                <w:sz w:val="15"/>
              </w:rPr>
              <w:t>Long score at the worst capped liquidity distress point.</w:t>
            </w:r>
          </w:p>
        </w:tc>
      </w:tr>
      <w:tr>
        <w:trPr>
          <w:cantSplit/>
        </w:trPr>
        <w:tc>
          <w:tcPr>
            <w:tcW w:type="dxa" w:w="2498"/>
          </w:tcPr>
          <w:p>
            <w:pPr>
              <w:spacing w:after="0"/>
            </w:pPr>
            <w:r>
              <w:rPr>
                <w:rFonts w:ascii="Calibri" w:hAnsi="Calibri"/>
                <w:b w:val="0"/>
                <w:i w:val="0"/>
                <w:color w:val="000000"/>
                <w:sz w:val="15"/>
              </w:rPr>
              <w:t>Liquidity</w:t>
            </w:r>
          </w:p>
        </w:tc>
        <w:tc>
          <w:tcPr>
            <w:tcW w:type="dxa" w:w="2498"/>
          </w:tcPr>
          <w:p>
            <w:pPr>
              <w:spacing w:after="0"/>
            </w:pPr>
            <w:r>
              <w:rPr>
                <w:rFonts w:ascii="Calibri" w:hAnsi="Calibri"/>
                <w:b w:val="0"/>
                <w:i w:val="0"/>
                <w:color w:val="000000"/>
                <w:sz w:val="15"/>
              </w:rPr>
              <w:t>EXCESS_WORKING_CAPITAL_Z_THRESHOLD</w:t>
            </w:r>
          </w:p>
        </w:tc>
        <w:tc>
          <w:tcPr>
            <w:tcW w:type="dxa" w:w="2498"/>
          </w:tcPr>
          <w:p>
            <w:pPr>
              <w:spacing w:after="0"/>
            </w:pPr>
            <w:r>
              <w:rPr>
                <w:rFonts w:ascii="Calibri" w:hAnsi="Calibri"/>
                <w:b w:val="0"/>
                <w:i w:val="0"/>
                <w:color w:val="000000"/>
                <w:sz w:val="15"/>
              </w:rPr>
              <w:t>2.0</w:t>
            </w:r>
          </w:p>
        </w:tc>
        <w:tc>
          <w:tcPr>
            <w:tcW w:type="dxa" w:w="2498"/>
          </w:tcPr>
          <w:p>
            <w:pPr>
              <w:spacing w:after="0"/>
            </w:pPr>
            <w:r>
              <w:rPr>
                <w:rFonts w:ascii="Calibri" w:hAnsi="Calibri"/>
                <w:b w:val="0"/>
                <w:i w:val="0"/>
                <w:color w:val="000000"/>
                <w:sz w:val="15"/>
              </w:rPr>
              <w:t>High-tail working-capital/sales z that raises the separate excess flag.</w:t>
            </w:r>
          </w:p>
        </w:tc>
      </w:tr>
      <w:tr>
        <w:trPr>
          <w:cantSplit/>
        </w:trPr>
        <w:tc>
          <w:tcPr>
            <w:tcW w:type="dxa" w:w="2498"/>
          </w:tcPr>
          <w:p>
            <w:pPr>
              <w:spacing w:after="0"/>
            </w:pPr>
            <w:r>
              <w:rPr>
                <w:rFonts w:ascii="Calibri" w:hAnsi="Calibri"/>
                <w:b w:val="0"/>
                <w:i w:val="0"/>
                <w:color w:val="000000"/>
                <w:sz w:val="15"/>
              </w:rPr>
              <w:t>Payout risk</w:t>
            </w:r>
          </w:p>
        </w:tc>
        <w:tc>
          <w:tcPr>
            <w:tcW w:type="dxa" w:w="2498"/>
          </w:tcPr>
          <w:p>
            <w:pPr>
              <w:spacing w:after="0"/>
            </w:pPr>
            <w:r>
              <w:rPr>
                <w:rFonts w:ascii="Calibri" w:hAnsi="Calibri"/>
                <w:b w:val="0"/>
                <w:i w:val="0"/>
                <w:color w:val="000000"/>
                <w:sz w:val="15"/>
              </w:rPr>
              <w:t>PAYOUT_WARNING_RATIO</w:t>
            </w:r>
          </w:p>
        </w:tc>
        <w:tc>
          <w:tcPr>
            <w:tcW w:type="dxa" w:w="2498"/>
          </w:tcPr>
          <w:p>
            <w:pPr>
              <w:spacing w:after="0"/>
            </w:pPr>
            <w:r>
              <w:rPr>
                <w:rFonts w:ascii="Calibri" w:hAnsi="Calibri"/>
                <w:b w:val="0"/>
                <w:i w:val="0"/>
                <w:color w:val="000000"/>
                <w:sz w:val="15"/>
              </w:rPr>
              <w:t>0.8</w:t>
            </w:r>
          </w:p>
        </w:tc>
        <w:tc>
          <w:tcPr>
            <w:tcW w:type="dxa" w:w="2498"/>
          </w:tcPr>
          <w:p>
            <w:pPr>
              <w:spacing w:after="0"/>
            </w:pPr>
            <w:r>
              <w:rPr>
                <w:rFonts w:ascii="Calibri" w:hAnsi="Calibri"/>
                <w:b w:val="0"/>
                <w:i w:val="0"/>
                <w:color w:val="000000"/>
                <w:sz w:val="15"/>
              </w:rPr>
              <w:t>Payout ratio above which sustainability score declines from neutral.</w:t>
            </w:r>
          </w:p>
        </w:tc>
      </w:tr>
      <w:tr>
        <w:trPr>
          <w:cantSplit/>
        </w:trPr>
        <w:tc>
          <w:tcPr>
            <w:tcW w:type="dxa" w:w="2498"/>
          </w:tcPr>
          <w:p>
            <w:pPr>
              <w:spacing w:after="0"/>
            </w:pPr>
            <w:r>
              <w:rPr>
                <w:rFonts w:ascii="Calibri" w:hAnsi="Calibri"/>
                <w:b w:val="0"/>
                <w:i w:val="0"/>
                <w:color w:val="000000"/>
                <w:sz w:val="15"/>
              </w:rPr>
              <w:t>Payout risk</w:t>
            </w:r>
          </w:p>
        </w:tc>
        <w:tc>
          <w:tcPr>
            <w:tcW w:type="dxa" w:w="2498"/>
          </w:tcPr>
          <w:p>
            <w:pPr>
              <w:spacing w:after="0"/>
            </w:pPr>
            <w:r>
              <w:rPr>
                <w:rFonts w:ascii="Calibri" w:hAnsi="Calibri"/>
                <w:b w:val="0"/>
                <w:i w:val="0"/>
                <w:color w:val="000000"/>
                <w:sz w:val="15"/>
              </w:rPr>
              <w:t>PAYOUT_DISTRESS_RATIO</w:t>
            </w:r>
          </w:p>
        </w:tc>
        <w:tc>
          <w:tcPr>
            <w:tcW w:type="dxa" w:w="2498"/>
          </w:tcPr>
          <w:p>
            <w:pPr>
              <w:spacing w:after="0"/>
            </w:pPr>
            <w:r>
              <w:rPr>
                <w:rFonts w:ascii="Calibri" w:hAnsi="Calibri"/>
                <w:b w:val="0"/>
                <w:i w:val="0"/>
                <w:color w:val="000000"/>
                <w:sz w:val="15"/>
              </w:rPr>
              <w:t>1.5</w:t>
            </w:r>
          </w:p>
        </w:tc>
        <w:tc>
          <w:tcPr>
            <w:tcW w:type="dxa" w:w="2498"/>
          </w:tcPr>
          <w:p>
            <w:pPr>
              <w:spacing w:after="0"/>
            </w:pPr>
            <w:r>
              <w:rPr>
                <w:rFonts w:ascii="Calibri" w:hAnsi="Calibri"/>
                <w:b w:val="0"/>
                <w:i w:val="0"/>
                <w:color w:val="000000"/>
                <w:sz w:val="15"/>
              </w:rPr>
              <w:t>Payout ratio receiving the zero sustainability score; dividends with non-positive EPS also score zero.</w:t>
            </w:r>
          </w:p>
        </w:tc>
      </w:tr>
      <w:tr>
        <w:trPr>
          <w:cantSplit/>
        </w:trPr>
        <w:tc>
          <w:tcPr>
            <w:tcW w:type="dxa" w:w="2498"/>
          </w:tcPr>
          <w:p>
            <w:pPr>
              <w:spacing w:after="0"/>
            </w:pPr>
            <w:r>
              <w:rPr>
                <w:rFonts w:ascii="Calibri" w:hAnsi="Calibri"/>
                <w:b w:val="0"/>
                <w:i w:val="0"/>
                <w:color w:val="000000"/>
                <w:sz w:val="15"/>
              </w:rPr>
              <w:t>Liquidity</w:t>
            </w:r>
          </w:p>
        </w:tc>
        <w:tc>
          <w:tcPr>
            <w:tcW w:type="dxa" w:w="2498"/>
          </w:tcPr>
          <w:p>
            <w:pPr>
              <w:spacing w:after="0"/>
            </w:pPr>
            <w:r>
              <w:rPr>
                <w:rFonts w:ascii="Calibri" w:hAnsi="Calibri"/>
                <w:b w:val="0"/>
                <w:i w:val="0"/>
                <w:color w:val="000000"/>
                <w:sz w:val="15"/>
              </w:rPr>
              <w:t>FINANCIAL_SECTORS</w:t>
            </w:r>
          </w:p>
        </w:tc>
        <w:tc>
          <w:tcPr>
            <w:tcW w:type="dxa" w:w="2498"/>
          </w:tcPr>
          <w:p>
            <w:pPr>
              <w:spacing w:after="0"/>
            </w:pPr>
            <w:r>
              <w:rPr>
                <w:rFonts w:ascii="Calibri" w:hAnsi="Calibri"/>
                <w:b w:val="0"/>
                <w:i w:val="0"/>
                <w:color w:val="000000"/>
                <w:sz w:val="15"/>
              </w:rPr>
              <w:t>["Finance", "Financials", "Financial Services"]</w:t>
            </w:r>
          </w:p>
        </w:tc>
        <w:tc>
          <w:tcPr>
            <w:tcW w:type="dxa" w:w="2498"/>
          </w:tcPr>
          <w:p>
            <w:pPr>
              <w:spacing w:after="0"/>
            </w:pPr>
            <w:r>
              <w:rPr>
                <w:rFonts w:ascii="Calibri" w:hAnsi="Calibri"/>
                <w:b w:val="0"/>
                <w:i w:val="0"/>
                <w:color w:val="000000"/>
                <w:sz w:val="15"/>
              </w:rPr>
              <w:t>Comma-separated sectors excluded from ordinary liquidity-ratio scoring.</w:t>
            </w:r>
          </w:p>
        </w:tc>
      </w:tr>
      <w:tr>
        <w:trPr>
          <w:cantSplit/>
        </w:trPr>
        <w:tc>
          <w:tcPr>
            <w:tcW w:type="dxa" w:w="2498"/>
          </w:tcPr>
          <w:p>
            <w:pPr>
              <w:spacing w:after="0"/>
            </w:pPr>
            <w:r>
              <w:rPr>
                <w:rFonts w:ascii="Calibri" w:hAnsi="Calibri"/>
                <w:b w:val="0"/>
                <w:i w:val="0"/>
                <w:color w:val="000000"/>
                <w:sz w:val="15"/>
              </w:rPr>
              <w:t>Confidence</w:t>
            </w:r>
          </w:p>
        </w:tc>
        <w:tc>
          <w:tcPr>
            <w:tcW w:type="dxa" w:w="2498"/>
          </w:tcPr>
          <w:p>
            <w:pPr>
              <w:spacing w:after="0"/>
            </w:pPr>
            <w:r>
              <w:rPr>
                <w:rFonts w:ascii="Calibri" w:hAnsi="Calibri"/>
                <w:b w:val="0"/>
                <w:i w:val="0"/>
                <w:color w:val="000000"/>
                <w:sz w:val="15"/>
              </w:rPr>
              <w:t>CONFIDENCE_FACTOR_WEIGHT</w:t>
            </w:r>
          </w:p>
        </w:tc>
        <w:tc>
          <w:tcPr>
            <w:tcW w:type="dxa" w:w="2498"/>
          </w:tcPr>
          <w:p>
            <w:pPr>
              <w:spacing w:after="0"/>
            </w:pPr>
            <w:r>
              <w:rPr>
                <w:rFonts w:ascii="Calibri" w:hAnsi="Calibri"/>
                <w:b w:val="0"/>
                <w:i w:val="0"/>
                <w:color w:val="000000"/>
                <w:sz w:val="15"/>
              </w:rPr>
              <w:t>0.425</w:t>
            </w:r>
          </w:p>
        </w:tc>
        <w:tc>
          <w:tcPr>
            <w:tcW w:type="dxa" w:w="2498"/>
          </w:tcPr>
          <w:p>
            <w:pPr>
              <w:spacing w:after="0"/>
            </w:pPr>
            <w:r>
              <w:rPr>
                <w:rFonts w:ascii="Calibri" w:hAnsi="Calibri"/>
                <w:b w:val="0"/>
                <w:i w:val="0"/>
                <w:color w:val="000000"/>
                <w:sz w:val="15"/>
              </w:rPr>
              <w:t>Relative weight on factor coverage in confidence.</w:t>
            </w:r>
          </w:p>
        </w:tc>
      </w:tr>
      <w:tr>
        <w:trPr>
          <w:cantSplit/>
        </w:trPr>
        <w:tc>
          <w:tcPr>
            <w:tcW w:type="dxa" w:w="2498"/>
          </w:tcPr>
          <w:p>
            <w:pPr>
              <w:spacing w:after="0"/>
            </w:pPr>
            <w:r>
              <w:rPr>
                <w:rFonts w:ascii="Calibri" w:hAnsi="Calibri"/>
                <w:b w:val="0"/>
                <w:i w:val="0"/>
                <w:color w:val="000000"/>
                <w:sz w:val="15"/>
              </w:rPr>
              <w:t>Confidence</w:t>
            </w:r>
          </w:p>
        </w:tc>
        <w:tc>
          <w:tcPr>
            <w:tcW w:type="dxa" w:w="2498"/>
          </w:tcPr>
          <w:p>
            <w:pPr>
              <w:spacing w:after="0"/>
            </w:pPr>
            <w:r>
              <w:rPr>
                <w:rFonts w:ascii="Calibri" w:hAnsi="Calibri"/>
                <w:b w:val="0"/>
                <w:i w:val="0"/>
                <w:color w:val="000000"/>
                <w:sz w:val="15"/>
              </w:rPr>
              <w:t>CONFIDENCE_FAMILY_WEIGHT</w:t>
            </w:r>
          </w:p>
        </w:tc>
        <w:tc>
          <w:tcPr>
            <w:tcW w:type="dxa" w:w="2498"/>
          </w:tcPr>
          <w:p>
            <w:pPr>
              <w:spacing w:after="0"/>
            </w:pPr>
            <w:r>
              <w:rPr>
                <w:rFonts w:ascii="Calibri" w:hAnsi="Calibri"/>
                <w:b w:val="0"/>
                <w:i w:val="0"/>
                <w:color w:val="000000"/>
                <w:sz w:val="15"/>
              </w:rPr>
              <w:t>0.25</w:t>
            </w:r>
          </w:p>
        </w:tc>
        <w:tc>
          <w:tcPr>
            <w:tcW w:type="dxa" w:w="2498"/>
          </w:tcPr>
          <w:p>
            <w:pPr>
              <w:spacing w:after="0"/>
            </w:pPr>
            <w:r>
              <w:rPr>
                <w:rFonts w:ascii="Calibri" w:hAnsi="Calibri"/>
                <w:b w:val="0"/>
                <w:i w:val="0"/>
                <w:color w:val="000000"/>
                <w:sz w:val="15"/>
              </w:rPr>
              <w:t>Relative weight on family coverage in confidence.</w:t>
            </w:r>
          </w:p>
        </w:tc>
      </w:tr>
      <w:tr>
        <w:trPr>
          <w:cantSplit/>
        </w:trPr>
        <w:tc>
          <w:tcPr>
            <w:tcW w:type="dxa" w:w="2498"/>
          </w:tcPr>
          <w:p>
            <w:pPr>
              <w:spacing w:after="0"/>
            </w:pPr>
            <w:r>
              <w:rPr>
                <w:rFonts w:ascii="Calibri" w:hAnsi="Calibri"/>
                <w:b w:val="0"/>
                <w:i w:val="0"/>
                <w:color w:val="000000"/>
                <w:sz w:val="15"/>
              </w:rPr>
              <w:t>Balance-sheet gates</w:t>
            </w:r>
          </w:p>
        </w:tc>
        <w:tc>
          <w:tcPr>
            <w:tcW w:type="dxa" w:w="2498"/>
          </w:tcPr>
          <w:p>
            <w:pPr>
              <w:spacing w:after="0"/>
            </w:pPr>
            <w:r>
              <w:rPr>
                <w:rFonts w:ascii="Calibri" w:hAnsi="Calibri"/>
                <w:b w:val="0"/>
                <w:i w:val="0"/>
                <w:color w:val="000000"/>
                <w:sz w:val="15"/>
              </w:rPr>
              <w:t>MAX_STANDARD_DEBT_EQUITY_RATIO</w:t>
            </w:r>
          </w:p>
        </w:tc>
        <w:tc>
          <w:tcPr>
            <w:tcW w:type="dxa" w:w="2498"/>
          </w:tcPr>
          <w:p>
            <w:pPr>
              <w:spacing w:after="0"/>
            </w:pPr>
            <w:r>
              <w:rPr>
                <w:rFonts w:ascii="Calibri" w:hAnsi="Calibri"/>
                <w:b w:val="0"/>
                <w:i w:val="0"/>
                <w:color w:val="000000"/>
                <w:sz w:val="15"/>
              </w:rPr>
              <w:t>2.0</w:t>
            </w:r>
          </w:p>
        </w:tc>
        <w:tc>
          <w:tcPr>
            <w:tcW w:type="dxa" w:w="2498"/>
          </w:tcPr>
          <w:p>
            <w:pPr>
              <w:spacing w:after="0"/>
            </w:pPr>
            <w:r>
              <w:rPr>
                <w:rFonts w:ascii="Calibri" w:hAnsi="Calibri"/>
                <w:b w:val="0"/>
                <w:i w:val="0"/>
                <w:color w:val="000000"/>
                <w:sz w:val="15"/>
              </w:rPr>
              <w:t>Maximum debt/equity for a standard operating company when that measure is valid.</w:t>
            </w:r>
          </w:p>
        </w:tc>
      </w:tr>
      <w:tr>
        <w:trPr>
          <w:cantSplit/>
        </w:trPr>
        <w:tc>
          <w:tcPr>
            <w:tcW w:type="dxa" w:w="2498"/>
          </w:tcPr>
          <w:p>
            <w:pPr>
              <w:spacing w:after="0"/>
            </w:pPr>
            <w:r>
              <w:rPr>
                <w:rFonts w:ascii="Calibri" w:hAnsi="Calibri"/>
                <w:b w:val="0"/>
                <w:i w:val="0"/>
                <w:color w:val="000000"/>
                <w:sz w:val="15"/>
              </w:rPr>
              <w:t>Balance-sheet gates</w:t>
            </w:r>
          </w:p>
        </w:tc>
        <w:tc>
          <w:tcPr>
            <w:tcW w:type="dxa" w:w="2498"/>
          </w:tcPr>
          <w:p>
            <w:pPr>
              <w:spacing w:after="0"/>
            </w:pPr>
            <w:r>
              <w:rPr>
                <w:rFonts w:ascii="Calibri" w:hAnsi="Calibri"/>
                <w:b w:val="0"/>
                <w:i w:val="0"/>
                <w:color w:val="000000"/>
                <w:sz w:val="15"/>
              </w:rPr>
              <w:t>MAX_STANDARD_DEBT_TOTAL_CAPITAL_RATIO</w:t>
            </w:r>
          </w:p>
        </w:tc>
        <w:tc>
          <w:tcPr>
            <w:tcW w:type="dxa" w:w="2498"/>
          </w:tcPr>
          <w:p>
            <w:pPr>
              <w:spacing w:after="0"/>
            </w:pPr>
            <w:r>
              <w:rPr>
                <w:rFonts w:ascii="Calibri" w:hAnsi="Calibri"/>
                <w:b w:val="0"/>
                <w:i w:val="0"/>
                <w:color w:val="000000"/>
                <w:sz w:val="15"/>
              </w:rPr>
              <w:t>0.75</w:t>
            </w:r>
          </w:p>
        </w:tc>
        <w:tc>
          <w:tcPr>
            <w:tcW w:type="dxa" w:w="2498"/>
          </w:tcPr>
          <w:p>
            <w:pPr>
              <w:spacing w:after="0"/>
            </w:pPr>
            <w:r>
              <w:rPr>
                <w:rFonts w:ascii="Calibri" w:hAnsi="Calibri"/>
                <w:b w:val="0"/>
                <w:i w:val="0"/>
                <w:color w:val="000000"/>
                <w:sz w:val="15"/>
              </w:rPr>
              <w:t>Maximum debt/total capital for a standard operating company.</w:t>
            </w:r>
          </w:p>
        </w:tc>
      </w:tr>
      <w:tr>
        <w:trPr>
          <w:cantSplit/>
        </w:trPr>
        <w:tc>
          <w:tcPr>
            <w:tcW w:type="dxa" w:w="2498"/>
          </w:tcPr>
          <w:p>
            <w:pPr>
              <w:spacing w:after="0"/>
            </w:pPr>
            <w:r>
              <w:rPr>
                <w:rFonts w:ascii="Calibri" w:hAnsi="Calibri"/>
                <w:b w:val="0"/>
                <w:i w:val="0"/>
                <w:color w:val="000000"/>
                <w:sz w:val="15"/>
              </w:rPr>
              <w:t>Balance-sheet gates</w:t>
            </w:r>
          </w:p>
        </w:tc>
        <w:tc>
          <w:tcPr>
            <w:tcW w:type="dxa" w:w="2498"/>
          </w:tcPr>
          <w:p>
            <w:pPr>
              <w:spacing w:after="0"/>
            </w:pPr>
            <w:r>
              <w:rPr>
                <w:rFonts w:ascii="Calibri" w:hAnsi="Calibri"/>
                <w:b w:val="0"/>
                <w:i w:val="0"/>
                <w:color w:val="000000"/>
                <w:sz w:val="15"/>
              </w:rPr>
              <w:t>MIN_STANDARD_CURRENT_RATIO</w:t>
            </w:r>
          </w:p>
        </w:tc>
        <w:tc>
          <w:tcPr>
            <w:tcW w:type="dxa" w:w="2498"/>
          </w:tcPr>
          <w:p>
            <w:pPr>
              <w:spacing w:after="0"/>
            </w:pPr>
            <w:r>
              <w:rPr>
                <w:rFonts w:ascii="Calibri" w:hAnsi="Calibri"/>
                <w:b w:val="0"/>
                <w:i w:val="0"/>
                <w:color w:val="000000"/>
                <w:sz w:val="15"/>
              </w:rPr>
              <w:t>0.75</w:t>
            </w:r>
          </w:p>
        </w:tc>
        <w:tc>
          <w:tcPr>
            <w:tcW w:type="dxa" w:w="2498"/>
          </w:tcPr>
          <w:p>
            <w:pPr>
              <w:spacing w:after="0"/>
            </w:pPr>
            <w:r>
              <w:rPr>
                <w:rFonts w:ascii="Calibri" w:hAnsi="Calibri"/>
                <w:b w:val="0"/>
                <w:i w:val="0"/>
                <w:color w:val="000000"/>
                <w:sz w:val="15"/>
              </w:rPr>
              <w:t>Minimum current ratio for standard-company survivability when available.</w:t>
            </w:r>
          </w:p>
        </w:tc>
      </w:tr>
      <w:tr>
        <w:trPr>
          <w:cantSplit/>
        </w:trPr>
        <w:tc>
          <w:tcPr>
            <w:tcW w:type="dxa" w:w="2498"/>
          </w:tcPr>
          <w:p>
            <w:pPr>
              <w:spacing w:after="0"/>
            </w:pPr>
            <w:r>
              <w:rPr>
                <w:rFonts w:ascii="Calibri" w:hAnsi="Calibri"/>
                <w:b w:val="0"/>
                <w:i w:val="0"/>
                <w:color w:val="000000"/>
                <w:sz w:val="15"/>
              </w:rPr>
              <w:t>Balance-sheet gates</w:t>
            </w:r>
          </w:p>
        </w:tc>
        <w:tc>
          <w:tcPr>
            <w:tcW w:type="dxa" w:w="2498"/>
          </w:tcPr>
          <w:p>
            <w:pPr>
              <w:spacing w:after="0"/>
            </w:pPr>
            <w:r>
              <w:rPr>
                <w:rFonts w:ascii="Calibri" w:hAnsi="Calibri"/>
                <w:b w:val="0"/>
                <w:i w:val="0"/>
                <w:color w:val="000000"/>
                <w:sz w:val="15"/>
              </w:rPr>
              <w:t>MAX_REIT_DEBT_EBITDA</w:t>
            </w:r>
          </w:p>
        </w:tc>
        <w:tc>
          <w:tcPr>
            <w:tcW w:type="dxa" w:w="2498"/>
          </w:tcPr>
          <w:p>
            <w:pPr>
              <w:spacing w:after="0"/>
            </w:pPr>
            <w:r>
              <w:rPr>
                <w:rFonts w:ascii="Calibri" w:hAnsi="Calibri"/>
                <w:b w:val="0"/>
                <w:i w:val="0"/>
                <w:color w:val="000000"/>
                <w:sz w:val="15"/>
              </w:rPr>
              <w:t>10.0</w:t>
            </w:r>
          </w:p>
        </w:tc>
        <w:tc>
          <w:tcPr>
            <w:tcW w:type="dxa" w:w="2498"/>
          </w:tcPr>
          <w:p>
            <w:pPr>
              <w:spacing w:after="0"/>
            </w:pPr>
            <w:r>
              <w:rPr>
                <w:rFonts w:ascii="Calibri" w:hAnsi="Calibri"/>
                <w:b w:val="0"/>
                <w:i w:val="0"/>
                <w:color w:val="000000"/>
                <w:sz w:val="15"/>
              </w:rPr>
              <w:t>Maximum long-term debt/EBITDA for REIT and real-estate gates.</w:t>
            </w:r>
          </w:p>
        </w:tc>
      </w:tr>
      <w:tr>
        <w:trPr>
          <w:cantSplit/>
        </w:trPr>
        <w:tc>
          <w:tcPr>
            <w:tcW w:type="dxa" w:w="2498"/>
          </w:tcPr>
          <w:p>
            <w:pPr>
              <w:spacing w:after="0"/>
            </w:pPr>
            <w:r>
              <w:rPr>
                <w:rFonts w:ascii="Calibri" w:hAnsi="Calibri"/>
                <w:b w:val="0"/>
                <w:i w:val="0"/>
                <w:color w:val="000000"/>
                <w:sz w:val="15"/>
              </w:rPr>
              <w:t>Balance-sheet gates</w:t>
            </w:r>
          </w:p>
        </w:tc>
        <w:tc>
          <w:tcPr>
            <w:tcW w:type="dxa" w:w="2498"/>
          </w:tcPr>
          <w:p>
            <w:pPr>
              <w:spacing w:after="0"/>
            </w:pPr>
            <w:r>
              <w:rPr>
                <w:rFonts w:ascii="Calibri" w:hAnsi="Calibri"/>
                <w:b w:val="0"/>
                <w:i w:val="0"/>
                <w:color w:val="000000"/>
                <w:sz w:val="15"/>
              </w:rPr>
              <w:t>MAX_REIT_DEBT_EBIT</w:t>
            </w:r>
          </w:p>
        </w:tc>
        <w:tc>
          <w:tcPr>
            <w:tcW w:type="dxa" w:w="2498"/>
          </w:tcPr>
          <w:p>
            <w:pPr>
              <w:spacing w:after="0"/>
            </w:pPr>
            <w:r>
              <w:rPr>
                <w:rFonts w:ascii="Calibri" w:hAnsi="Calibri"/>
                <w:b w:val="0"/>
                <w:i w:val="0"/>
                <w:color w:val="000000"/>
                <w:sz w:val="15"/>
              </w:rPr>
              <w:t>12.0</w:t>
            </w:r>
          </w:p>
        </w:tc>
        <w:tc>
          <w:tcPr>
            <w:tcW w:type="dxa" w:w="2498"/>
          </w:tcPr>
          <w:p>
            <w:pPr>
              <w:spacing w:after="0"/>
            </w:pPr>
            <w:r>
              <w:rPr>
                <w:rFonts w:ascii="Calibri" w:hAnsi="Calibri"/>
                <w:b w:val="0"/>
                <w:i w:val="0"/>
                <w:color w:val="000000"/>
                <w:sz w:val="15"/>
              </w:rPr>
              <w:t>Maximum long-term debt/EBIT fallback for REIT and real-estate gates.</w:t>
            </w:r>
          </w:p>
        </w:tc>
      </w:tr>
      <w:tr>
        <w:trPr>
          <w:cantSplit/>
        </w:trPr>
        <w:tc>
          <w:tcPr>
            <w:tcW w:type="dxa" w:w="2498"/>
          </w:tcPr>
          <w:p>
            <w:pPr>
              <w:spacing w:after="0"/>
            </w:pPr>
            <w:r>
              <w:rPr>
                <w:rFonts w:ascii="Calibri" w:hAnsi="Calibri"/>
                <w:b w:val="0"/>
                <w:i w:val="0"/>
                <w:color w:val="000000"/>
                <w:sz w:val="15"/>
              </w:rPr>
              <w:t>Risk gates</w:t>
            </w:r>
          </w:p>
        </w:tc>
        <w:tc>
          <w:tcPr>
            <w:tcW w:type="dxa" w:w="2498"/>
          </w:tcPr>
          <w:p>
            <w:pPr>
              <w:spacing w:after="0"/>
            </w:pPr>
            <w:r>
              <w:rPr>
                <w:rFonts w:ascii="Calibri" w:hAnsi="Calibri"/>
                <w:b w:val="0"/>
                <w:i w:val="0"/>
                <w:color w:val="000000"/>
                <w:sz w:val="15"/>
              </w:rPr>
              <w:t>MAX_BOOK_PRICE_DIVERGENCE</w:t>
            </w:r>
          </w:p>
        </w:tc>
        <w:tc>
          <w:tcPr>
            <w:tcW w:type="dxa" w:w="2498"/>
          </w:tcPr>
          <w:p>
            <w:pPr>
              <w:spacing w:after="0"/>
            </w:pPr>
            <w:r>
              <w:rPr>
                <w:rFonts w:ascii="Calibri" w:hAnsi="Calibri"/>
                <w:b w:val="0"/>
                <w:i w:val="0"/>
                <w:color w:val="000000"/>
                <w:sz w:val="15"/>
              </w:rPr>
              <w:t>BLANK / DISABLED</w:t>
            </w:r>
          </w:p>
        </w:tc>
        <w:tc>
          <w:tcPr>
            <w:tcW w:type="dxa" w:w="2498"/>
          </w:tcPr>
          <w:p>
            <w:pPr>
              <w:spacing w:after="0"/>
            </w:pPr>
            <w:r>
              <w:rPr>
                <w:rFonts w:ascii="Calibri" w:hAnsi="Calibri"/>
                <w:b w:val="0"/>
                <w:i w:val="0"/>
                <w:color w:val="000000"/>
                <w:sz w:val="15"/>
              </w:rPr>
              <w:t>Optional hard candidate gate: maximum absolute (price-book)/price divergence; 0 requires an exact match, blank disables.</w:t>
            </w:r>
          </w:p>
        </w:tc>
      </w:tr>
      <w:tr>
        <w:trPr>
          <w:cantSplit/>
        </w:trPr>
        <w:tc>
          <w:tcPr>
            <w:tcW w:type="dxa" w:w="2498"/>
          </w:tcPr>
          <w:p>
            <w:pPr>
              <w:spacing w:after="0"/>
            </w:pPr>
            <w:r>
              <w:rPr>
                <w:rFonts w:ascii="Calibri" w:hAnsi="Calibri"/>
                <w:b w:val="0"/>
                <w:i w:val="0"/>
                <w:color w:val="000000"/>
                <w:sz w:val="15"/>
              </w:rPr>
              <w:t>EPS policy</w:t>
            </w:r>
          </w:p>
        </w:tc>
        <w:tc>
          <w:tcPr>
            <w:tcW w:type="dxa" w:w="2498"/>
          </w:tcPr>
          <w:p>
            <w:pPr>
              <w:spacing w:after="0"/>
            </w:pPr>
            <w:r>
              <w:rPr>
                <w:rFonts w:ascii="Calibri" w:hAnsi="Calibri"/>
                <w:b w:val="0"/>
                <w:i w:val="0"/>
                <w:color w:val="000000"/>
                <w:sz w:val="15"/>
              </w:rPr>
              <w:t>EG2_REQUIRE_POSITIVE_EPS_SAFE</w:t>
            </w:r>
          </w:p>
        </w:tc>
        <w:tc>
          <w:tcPr>
            <w:tcW w:type="dxa" w:w="2498"/>
          </w:tcPr>
          <w:p>
            <w:pPr>
              <w:spacing w:after="0"/>
            </w:pPr>
            <w:r>
              <w:rPr>
                <w:rFonts w:ascii="Calibri" w:hAnsi="Calibri"/>
                <w:b w:val="0"/>
                <w:i w:val="0"/>
                <w:color w:val="000000"/>
                <w:sz w:val="15"/>
              </w:rPr>
              <w:t>True</w:t>
            </w:r>
          </w:p>
        </w:tc>
        <w:tc>
          <w:tcPr>
            <w:tcW w:type="dxa" w:w="2498"/>
          </w:tcPr>
          <w:p>
            <w:pPr>
              <w:spacing w:after="0"/>
            </w:pPr>
            <w:r>
              <w:rPr>
                <w:rFonts w:ascii="Calibri" w:hAnsi="Calibri"/>
                <w:b w:val="0"/>
                <w:i w:val="0"/>
                <w:color w:val="000000"/>
                <w:sz w:val="15"/>
              </w:rPr>
              <w:t>Require positive F1 and F2 EPS for Safe.</w:t>
            </w:r>
          </w:p>
        </w:tc>
      </w:tr>
      <w:tr>
        <w:trPr>
          <w:cantSplit/>
        </w:trPr>
        <w:tc>
          <w:tcPr>
            <w:tcW w:type="dxa" w:w="2498"/>
          </w:tcPr>
          <w:p>
            <w:pPr>
              <w:spacing w:after="0"/>
            </w:pPr>
            <w:r>
              <w:rPr>
                <w:rFonts w:ascii="Calibri" w:hAnsi="Calibri"/>
                <w:b w:val="0"/>
                <w:i w:val="0"/>
                <w:color w:val="000000"/>
                <w:sz w:val="15"/>
              </w:rPr>
              <w:t>EPS policy</w:t>
            </w:r>
          </w:p>
        </w:tc>
        <w:tc>
          <w:tcPr>
            <w:tcW w:type="dxa" w:w="2498"/>
          </w:tcPr>
          <w:p>
            <w:pPr>
              <w:spacing w:after="0"/>
            </w:pPr>
            <w:r>
              <w:rPr>
                <w:rFonts w:ascii="Calibri" w:hAnsi="Calibri"/>
                <w:b w:val="0"/>
                <w:i w:val="0"/>
                <w:color w:val="000000"/>
                <w:sz w:val="15"/>
              </w:rPr>
              <w:t>EG2_REQUIRE_POSITIVE_EPS_HIGH_GROWTH</w:t>
            </w:r>
          </w:p>
        </w:tc>
        <w:tc>
          <w:tcPr>
            <w:tcW w:type="dxa" w:w="2498"/>
          </w:tcPr>
          <w:p>
            <w:pPr>
              <w:spacing w:after="0"/>
            </w:pPr>
            <w:r>
              <w:rPr>
                <w:rFonts w:ascii="Calibri" w:hAnsi="Calibri"/>
                <w:b w:val="0"/>
                <w:i w:val="0"/>
                <w:color w:val="000000"/>
                <w:sz w:val="15"/>
              </w:rPr>
              <w:t>False</w:t>
            </w:r>
          </w:p>
        </w:tc>
        <w:tc>
          <w:tcPr>
            <w:tcW w:type="dxa" w:w="2498"/>
          </w:tcPr>
          <w:p>
            <w:pPr>
              <w:spacing w:after="0"/>
            </w:pPr>
            <w:r>
              <w:rPr>
                <w:rFonts w:ascii="Calibri" w:hAnsi="Calibri"/>
                <w:b w:val="0"/>
                <w:i w:val="0"/>
                <w:color w:val="000000"/>
                <w:sz w:val="15"/>
              </w:rPr>
              <w:t>Require positive F1 and F2 EPS for High Growth Potential.</w:t>
            </w:r>
          </w:p>
        </w:tc>
      </w:tr>
      <w:tr>
        <w:trPr>
          <w:cantSplit/>
        </w:trPr>
        <w:tc>
          <w:tcPr>
            <w:tcW w:type="dxa" w:w="2498"/>
          </w:tcPr>
          <w:p>
            <w:pPr>
              <w:spacing w:after="0"/>
            </w:pPr>
            <w:r>
              <w:rPr>
                <w:rFonts w:ascii="Calibri" w:hAnsi="Calibri"/>
                <w:b w:val="0"/>
                <w:i w:val="0"/>
                <w:color w:val="000000"/>
                <w:sz w:val="15"/>
              </w:rPr>
              <w:t>EPS policy</w:t>
            </w:r>
          </w:p>
        </w:tc>
        <w:tc>
          <w:tcPr>
            <w:tcW w:type="dxa" w:w="2498"/>
          </w:tcPr>
          <w:p>
            <w:pPr>
              <w:spacing w:after="0"/>
            </w:pPr>
            <w:r>
              <w:rPr>
                <w:rFonts w:ascii="Calibri" w:hAnsi="Calibri"/>
                <w:b w:val="0"/>
                <w:i w:val="0"/>
                <w:color w:val="000000"/>
                <w:sz w:val="15"/>
              </w:rPr>
              <w:t>EG2_REQUIRE_POSITIVE_EPS_TURNAROUND</w:t>
            </w:r>
          </w:p>
        </w:tc>
        <w:tc>
          <w:tcPr>
            <w:tcW w:type="dxa" w:w="2498"/>
          </w:tcPr>
          <w:p>
            <w:pPr>
              <w:spacing w:after="0"/>
            </w:pPr>
            <w:r>
              <w:rPr>
                <w:rFonts w:ascii="Calibri" w:hAnsi="Calibri"/>
                <w:b w:val="0"/>
                <w:i w:val="0"/>
                <w:color w:val="000000"/>
                <w:sz w:val="15"/>
              </w:rPr>
              <w:t>False</w:t>
            </w:r>
          </w:p>
        </w:tc>
        <w:tc>
          <w:tcPr>
            <w:tcW w:type="dxa" w:w="2498"/>
          </w:tcPr>
          <w:p>
            <w:pPr>
              <w:spacing w:after="0"/>
            </w:pPr>
            <w:r>
              <w:rPr>
                <w:rFonts w:ascii="Calibri" w:hAnsi="Calibri"/>
                <w:b w:val="0"/>
                <w:i w:val="0"/>
                <w:color w:val="000000"/>
                <w:sz w:val="15"/>
              </w:rPr>
              <w:t>Require positive F1 and F2 EPS for Turnaround Story.</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MIN_MARKET_CAP_MIL</w:t>
            </w:r>
          </w:p>
        </w:tc>
        <w:tc>
          <w:tcPr>
            <w:tcW w:type="dxa" w:w="2498"/>
          </w:tcPr>
          <w:p>
            <w:pPr>
              <w:spacing w:after="0"/>
            </w:pPr>
            <w:r>
              <w:rPr>
                <w:rFonts w:ascii="Calibri" w:hAnsi="Calibri"/>
                <w:b w:val="0"/>
                <w:i w:val="0"/>
                <w:color w:val="000000"/>
                <w:sz w:val="15"/>
              </w:rPr>
              <w:t>3000.0</w:t>
            </w:r>
          </w:p>
        </w:tc>
        <w:tc>
          <w:tcPr>
            <w:tcW w:type="dxa" w:w="2498"/>
          </w:tcPr>
          <w:p>
            <w:pPr>
              <w:spacing w:after="0"/>
            </w:pPr>
            <w:r>
              <w:rPr>
                <w:rFonts w:ascii="Calibri" w:hAnsi="Calibri"/>
                <w:b w:val="0"/>
                <w:i w:val="0"/>
                <w:color w:val="000000"/>
                <w:sz w:val="15"/>
              </w:rPr>
              <w:t>Minimum market capitalisation in USD millions.</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MIN_AVG_DAILY_DOLLAR_VOLUME</w:t>
            </w:r>
          </w:p>
        </w:tc>
        <w:tc>
          <w:tcPr>
            <w:tcW w:type="dxa" w:w="2498"/>
          </w:tcPr>
          <w:p>
            <w:pPr>
              <w:spacing w:after="0"/>
            </w:pPr>
            <w:r>
              <w:rPr>
                <w:rFonts w:ascii="Calibri" w:hAnsi="Calibri"/>
                <w:b w:val="0"/>
                <w:i w:val="0"/>
                <w:color w:val="000000"/>
                <w:sz w:val="15"/>
              </w:rPr>
              <w:t>25000000.0</w:t>
            </w:r>
          </w:p>
        </w:tc>
        <w:tc>
          <w:tcPr>
            <w:tcW w:type="dxa" w:w="2498"/>
          </w:tcPr>
          <w:p>
            <w:pPr>
              <w:spacing w:after="0"/>
            </w:pPr>
            <w:r>
              <w:rPr>
                <w:rFonts w:ascii="Calibri" w:hAnsi="Calibri"/>
                <w:b w:val="0"/>
                <w:i w:val="0"/>
                <w:color w:val="000000"/>
                <w:sz w:val="15"/>
              </w:rPr>
              <w:t>Minimum average daily dollar volume for long implementation.</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MIN_AVG_DAILY_DOLLAR_VOLUME_SHORT</w:t>
            </w:r>
          </w:p>
        </w:tc>
        <w:tc>
          <w:tcPr>
            <w:tcW w:type="dxa" w:w="2498"/>
          </w:tcPr>
          <w:p>
            <w:pPr>
              <w:spacing w:after="0"/>
            </w:pPr>
            <w:r>
              <w:rPr>
                <w:rFonts w:ascii="Calibri" w:hAnsi="Calibri"/>
                <w:b w:val="0"/>
                <w:i w:val="0"/>
                <w:color w:val="000000"/>
                <w:sz w:val="15"/>
              </w:rPr>
              <w:t>50000000.0</w:t>
            </w:r>
          </w:p>
        </w:tc>
        <w:tc>
          <w:tcPr>
            <w:tcW w:type="dxa" w:w="2498"/>
          </w:tcPr>
          <w:p>
            <w:pPr>
              <w:spacing w:after="0"/>
            </w:pPr>
            <w:r>
              <w:rPr>
                <w:rFonts w:ascii="Calibri" w:hAnsi="Calibri"/>
                <w:b w:val="0"/>
                <w:i w:val="0"/>
                <w:color w:val="000000"/>
                <w:sz w:val="15"/>
              </w:rPr>
              <w:t>Minimum average daily dollar volume for short implementation.</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REQUIRE_OPTIONABLE_FOR_OPTIONS_STRATEGY</w:t>
            </w:r>
          </w:p>
        </w:tc>
        <w:tc>
          <w:tcPr>
            <w:tcW w:type="dxa" w:w="2498"/>
          </w:tcPr>
          <w:p>
            <w:pPr>
              <w:spacing w:after="0"/>
            </w:pPr>
            <w:r>
              <w:rPr>
                <w:rFonts w:ascii="Calibri" w:hAnsi="Calibri"/>
                <w:b w:val="0"/>
                <w:i w:val="0"/>
                <w:color w:val="000000"/>
                <w:sz w:val="15"/>
              </w:rPr>
              <w:t>True</w:t>
            </w:r>
          </w:p>
        </w:tc>
        <w:tc>
          <w:tcPr>
            <w:tcW w:type="dxa" w:w="2498"/>
          </w:tcPr>
          <w:p>
            <w:pPr>
              <w:spacing w:after="0"/>
            </w:pPr>
            <w:r>
              <w:rPr>
                <w:rFonts w:ascii="Calibri" w:hAnsi="Calibri"/>
                <w:b w:val="0"/>
                <w:i w:val="0"/>
                <w:color w:val="000000"/>
                <w:sz w:val="15"/>
              </w:rPr>
              <w:t>Require listed options only when an options implementation is requested.</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ALLOW_OTC</w:t>
            </w:r>
          </w:p>
        </w:tc>
        <w:tc>
          <w:tcPr>
            <w:tcW w:type="dxa" w:w="2498"/>
          </w:tcPr>
          <w:p>
            <w:pPr>
              <w:spacing w:after="0"/>
            </w:pPr>
            <w:r>
              <w:rPr>
                <w:rFonts w:ascii="Calibri" w:hAnsi="Calibri"/>
                <w:b w:val="0"/>
                <w:i w:val="0"/>
                <w:color w:val="000000"/>
                <w:sz w:val="15"/>
              </w:rPr>
              <w:t>False</w:t>
            </w:r>
          </w:p>
        </w:tc>
        <w:tc>
          <w:tcPr>
            <w:tcW w:type="dxa" w:w="2498"/>
          </w:tcPr>
          <w:p>
            <w:pPr>
              <w:spacing w:after="0"/>
            </w:pPr>
            <w:r>
              <w:rPr>
                <w:rFonts w:ascii="Calibri" w:hAnsi="Calibri"/>
                <w:b w:val="0"/>
                <w:i w:val="0"/>
                <w:color w:val="000000"/>
                <w:sz w:val="15"/>
              </w:rPr>
              <w:t>Permit OTC-listed securities.</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ALLOW_ADR</w:t>
            </w:r>
          </w:p>
        </w:tc>
        <w:tc>
          <w:tcPr>
            <w:tcW w:type="dxa" w:w="2498"/>
          </w:tcPr>
          <w:p>
            <w:pPr>
              <w:spacing w:after="0"/>
            </w:pPr>
            <w:r>
              <w:rPr>
                <w:rFonts w:ascii="Calibri" w:hAnsi="Calibri"/>
                <w:b w:val="0"/>
                <w:i w:val="0"/>
                <w:color w:val="000000"/>
                <w:sz w:val="15"/>
              </w:rPr>
              <w:t>True</w:t>
            </w:r>
          </w:p>
        </w:tc>
        <w:tc>
          <w:tcPr>
            <w:tcW w:type="dxa" w:w="2498"/>
          </w:tcPr>
          <w:p>
            <w:pPr>
              <w:spacing w:after="0"/>
            </w:pPr>
            <w:r>
              <w:rPr>
                <w:rFonts w:ascii="Calibri" w:hAnsi="Calibri"/>
                <w:b w:val="0"/>
                <w:i w:val="0"/>
                <w:color w:val="000000"/>
                <w:sz w:val="15"/>
              </w:rPr>
              <w:t>Permit ADR/ADS securities.</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ALLOW_MLP</w:t>
            </w:r>
          </w:p>
        </w:tc>
        <w:tc>
          <w:tcPr>
            <w:tcW w:type="dxa" w:w="2498"/>
          </w:tcPr>
          <w:p>
            <w:pPr>
              <w:spacing w:after="0"/>
            </w:pPr>
            <w:r>
              <w:rPr>
                <w:rFonts w:ascii="Calibri" w:hAnsi="Calibri"/>
                <w:b w:val="0"/>
                <w:i w:val="0"/>
                <w:color w:val="000000"/>
                <w:sz w:val="15"/>
              </w:rPr>
              <w:t>True</w:t>
            </w:r>
          </w:p>
        </w:tc>
        <w:tc>
          <w:tcPr>
            <w:tcW w:type="dxa" w:w="2498"/>
          </w:tcPr>
          <w:p>
            <w:pPr>
              <w:spacing w:after="0"/>
            </w:pPr>
            <w:r>
              <w:rPr>
                <w:rFonts w:ascii="Calibri" w:hAnsi="Calibri"/>
                <w:b w:val="0"/>
                <w:i w:val="0"/>
                <w:color w:val="000000"/>
                <w:sz w:val="15"/>
              </w:rPr>
              <w:t>Permit MLP securities.</w:t>
            </w:r>
          </w:p>
        </w:tc>
      </w:tr>
      <w:tr>
        <w:trPr>
          <w:cantSplit/>
        </w:trPr>
        <w:tc>
          <w:tcPr>
            <w:tcW w:type="dxa" w:w="2498"/>
          </w:tcPr>
          <w:p>
            <w:pPr>
              <w:spacing w:after="0"/>
            </w:pPr>
            <w:r>
              <w:rPr>
                <w:rFonts w:ascii="Calibri" w:hAnsi="Calibri"/>
                <w:b w:val="0"/>
                <w:i w:val="0"/>
                <w:color w:val="000000"/>
                <w:sz w:val="15"/>
              </w:rPr>
              <w:t>Implementation</w:t>
            </w:r>
          </w:p>
        </w:tc>
        <w:tc>
          <w:tcPr>
            <w:tcW w:type="dxa" w:w="2498"/>
          </w:tcPr>
          <w:p>
            <w:pPr>
              <w:spacing w:after="0"/>
            </w:pPr>
            <w:r>
              <w:rPr>
                <w:rFonts w:ascii="Calibri" w:hAnsi="Calibri"/>
                <w:b w:val="0"/>
                <w:i w:val="0"/>
                <w:color w:val="000000"/>
                <w:sz w:val="15"/>
              </w:rPr>
              <w:t>ALLOW_CANADIAN</w:t>
            </w:r>
          </w:p>
        </w:tc>
        <w:tc>
          <w:tcPr>
            <w:tcW w:type="dxa" w:w="2498"/>
          </w:tcPr>
          <w:p>
            <w:pPr>
              <w:spacing w:after="0"/>
            </w:pPr>
            <w:r>
              <w:rPr>
                <w:rFonts w:ascii="Calibri" w:hAnsi="Calibri"/>
                <w:b w:val="0"/>
                <w:i w:val="0"/>
                <w:color w:val="000000"/>
                <w:sz w:val="15"/>
              </w:rPr>
              <w:t>True</w:t>
            </w:r>
          </w:p>
        </w:tc>
        <w:tc>
          <w:tcPr>
            <w:tcW w:type="dxa" w:w="2498"/>
          </w:tcPr>
          <w:p>
            <w:pPr>
              <w:spacing w:after="0"/>
            </w:pPr>
            <w:r>
              <w:rPr>
                <w:rFonts w:ascii="Calibri" w:hAnsi="Calibri"/>
                <w:b w:val="0"/>
                <w:i w:val="0"/>
                <w:color w:val="000000"/>
                <w:sz w:val="15"/>
              </w:rPr>
              <w:t>Permit Canadian securities.</w:t>
            </w:r>
          </w:p>
        </w:tc>
      </w:tr>
      <w:tr>
        <w:trPr>
          <w:cantSplit/>
        </w:trPr>
        <w:tc>
          <w:tcPr>
            <w:tcW w:type="dxa" w:w="2498"/>
          </w:tcPr>
          <w:p>
            <w:pPr>
              <w:spacing w:after="0"/>
            </w:pPr>
            <w:r>
              <w:rPr>
                <w:rFonts w:ascii="Calibri" w:hAnsi="Calibri"/>
                <w:b w:val="0"/>
                <w:i w:val="0"/>
                <w:color w:val="000000"/>
                <w:sz w:val="15"/>
              </w:rPr>
              <w:t>Validation</w:t>
            </w:r>
          </w:p>
        </w:tc>
        <w:tc>
          <w:tcPr>
            <w:tcW w:type="dxa" w:w="2498"/>
          </w:tcPr>
          <w:p>
            <w:pPr>
              <w:spacing w:after="0"/>
            </w:pPr>
            <w:r>
              <w:rPr>
                <w:rFonts w:ascii="Calibri" w:hAnsi="Calibri"/>
                <w:b w:val="0"/>
                <w:i w:val="0"/>
                <w:color w:val="000000"/>
                <w:sz w:val="15"/>
              </w:rPr>
              <w:t>MARGIN_RECONCILIATION_ABS_TOLERANCE</w:t>
            </w:r>
          </w:p>
        </w:tc>
        <w:tc>
          <w:tcPr>
            <w:tcW w:type="dxa" w:w="2498"/>
          </w:tcPr>
          <w:p>
            <w:pPr>
              <w:spacing w:after="0"/>
            </w:pPr>
            <w:r>
              <w:rPr>
                <w:rFonts w:ascii="Calibri" w:hAnsi="Calibri"/>
                <w:b w:val="0"/>
                <w:i w:val="0"/>
                <w:color w:val="000000"/>
                <w:sz w:val="15"/>
              </w:rPr>
              <w:t>0.05</w:t>
            </w:r>
          </w:p>
        </w:tc>
        <w:tc>
          <w:tcPr>
            <w:tcW w:type="dxa" w:w="2498"/>
          </w:tcPr>
          <w:p>
            <w:pPr>
              <w:spacing w:after="0"/>
            </w:pPr>
            <w:r>
              <w:rPr>
                <w:rFonts w:ascii="Calibri" w:hAnsi="Calibri"/>
                <w:b w:val="0"/>
                <w:i w:val="0"/>
                <w:color w:val="000000"/>
                <w:sz w:val="15"/>
              </w:rPr>
              <w:t>Absolute vendor-versus-derived margin tolerance in decimal units.</w:t>
            </w:r>
          </w:p>
        </w:tc>
      </w:tr>
      <w:tr>
        <w:trPr>
          <w:cantSplit/>
        </w:trPr>
        <w:tc>
          <w:tcPr>
            <w:tcW w:type="dxa" w:w="2498"/>
          </w:tcPr>
          <w:p>
            <w:pPr>
              <w:spacing w:after="0"/>
            </w:pPr>
            <w:r>
              <w:rPr>
                <w:rFonts w:ascii="Calibri" w:hAnsi="Calibri"/>
                <w:b w:val="0"/>
                <w:i w:val="0"/>
                <w:color w:val="000000"/>
                <w:sz w:val="15"/>
              </w:rPr>
              <w:t>Data policy</w:t>
            </w:r>
          </w:p>
        </w:tc>
        <w:tc>
          <w:tcPr>
            <w:tcW w:type="dxa" w:w="2498"/>
          </w:tcPr>
          <w:p>
            <w:pPr>
              <w:spacing w:after="0"/>
            </w:pPr>
            <w:r>
              <w:rPr>
                <w:rFonts w:ascii="Calibri" w:hAnsi="Calibri"/>
                <w:b w:val="0"/>
                <w:i w:val="0"/>
                <w:color w:val="000000"/>
                <w:sz w:val="15"/>
              </w:rPr>
              <w:t>ALLOWED_SECURITY_TYPES</w:t>
            </w:r>
          </w:p>
        </w:tc>
        <w:tc>
          <w:tcPr>
            <w:tcW w:type="dxa" w:w="2498"/>
          </w:tcPr>
          <w:p>
            <w:pPr>
              <w:spacing w:after="0"/>
            </w:pPr>
            <w:r>
              <w:rPr>
                <w:rFonts w:ascii="Calibri" w:hAnsi="Calibri"/>
                <w:b w:val="0"/>
                <w:i w:val="0"/>
                <w:color w:val="000000"/>
                <w:sz w:val="15"/>
              </w:rPr>
              <w:t>["COM", "ADR", "CDN", "MLP", "ADS", "ASR"]</w:t>
            </w:r>
          </w:p>
        </w:tc>
        <w:tc>
          <w:tcPr>
            <w:tcW w:type="dxa" w:w="2498"/>
          </w:tcPr>
          <w:p>
            <w:pPr>
              <w:spacing w:after="0"/>
            </w:pPr>
            <w:r>
              <w:rPr>
                <w:rFonts w:ascii="Calibri" w:hAnsi="Calibri"/>
                <w:b w:val="0"/>
                <w:i w:val="0"/>
                <w:color w:val="000000"/>
                <w:sz w:val="15"/>
              </w:rPr>
              <w:t>Comma-separated eligible security types.</w:t>
            </w:r>
          </w:p>
        </w:tc>
      </w:tr>
      <w:tr>
        <w:trPr>
          <w:cantSplit/>
        </w:trPr>
        <w:tc>
          <w:tcPr>
            <w:tcW w:type="dxa" w:w="2498"/>
          </w:tcPr>
          <w:p>
            <w:pPr>
              <w:spacing w:after="0"/>
            </w:pPr>
            <w:r>
              <w:rPr>
                <w:rFonts w:ascii="Calibri" w:hAnsi="Calibri"/>
                <w:b w:val="0"/>
                <w:i w:val="0"/>
                <w:color w:val="000000"/>
                <w:sz w:val="15"/>
              </w:rPr>
              <w:t>Validation</w:t>
            </w:r>
          </w:p>
        </w:tc>
        <w:tc>
          <w:tcPr>
            <w:tcW w:type="dxa" w:w="2498"/>
          </w:tcPr>
          <w:p>
            <w:pPr>
              <w:spacing w:after="0"/>
            </w:pPr>
            <w:r>
              <w:rPr>
                <w:rFonts w:ascii="Calibri" w:hAnsi="Calibri"/>
                <w:b w:val="0"/>
                <w:i w:val="0"/>
                <w:color w:val="000000"/>
                <w:sz w:val="15"/>
              </w:rPr>
              <w:t>PB_VALIDATION_TOLERANCE</w:t>
            </w:r>
          </w:p>
        </w:tc>
        <w:tc>
          <w:tcPr>
            <w:tcW w:type="dxa" w:w="2498"/>
          </w:tcPr>
          <w:p>
            <w:pPr>
              <w:spacing w:after="0"/>
            </w:pPr>
            <w:r>
              <w:rPr>
                <w:rFonts w:ascii="Calibri" w:hAnsi="Calibri"/>
                <w:b w:val="0"/>
                <w:i w:val="0"/>
                <w:color w:val="000000"/>
                <w:sz w:val="15"/>
              </w:rPr>
              <w:t>0.15</w:t>
            </w:r>
          </w:p>
        </w:tc>
        <w:tc>
          <w:tcPr>
            <w:tcW w:type="dxa" w:w="2498"/>
          </w:tcPr>
          <w:p>
            <w:pPr>
              <w:spacing w:after="0"/>
            </w:pPr>
            <w:r>
              <w:rPr>
                <w:rFonts w:ascii="Calibri" w:hAnsi="Calibri"/>
                <w:b w:val="0"/>
                <w:i w:val="0"/>
                <w:color w:val="000000"/>
                <w:sz w:val="15"/>
              </w:rPr>
              <w:t>Allowed relative P/B reconstruction difference before a flag.</w:t>
            </w:r>
          </w:p>
        </w:tc>
      </w:tr>
      <w:tr>
        <w:trPr>
          <w:cantSplit/>
        </w:trPr>
        <w:tc>
          <w:tcPr>
            <w:tcW w:type="dxa" w:w="2498"/>
          </w:tcPr>
          <w:p>
            <w:pPr>
              <w:spacing w:after="0"/>
            </w:pPr>
            <w:r>
              <w:rPr>
                <w:rFonts w:ascii="Calibri" w:hAnsi="Calibri"/>
                <w:b w:val="0"/>
                <w:i w:val="0"/>
                <w:color w:val="000000"/>
                <w:sz w:val="15"/>
              </w:rPr>
              <w:t>Validation</w:t>
            </w:r>
          </w:p>
        </w:tc>
        <w:tc>
          <w:tcPr>
            <w:tcW w:type="dxa" w:w="2498"/>
          </w:tcPr>
          <w:p>
            <w:pPr>
              <w:spacing w:after="0"/>
            </w:pPr>
            <w:r>
              <w:rPr>
                <w:rFonts w:ascii="Calibri" w:hAnsi="Calibri"/>
                <w:b w:val="0"/>
                <w:i w:val="0"/>
                <w:color w:val="000000"/>
                <w:sz w:val="15"/>
              </w:rPr>
              <w:t>MARKET_CAP_PER_SHARE_TOLERANCE</w:t>
            </w:r>
          </w:p>
        </w:tc>
        <w:tc>
          <w:tcPr>
            <w:tcW w:type="dxa" w:w="2498"/>
          </w:tcPr>
          <w:p>
            <w:pPr>
              <w:spacing w:after="0"/>
            </w:pPr>
            <w:r>
              <w:rPr>
                <w:rFonts w:ascii="Calibri" w:hAnsi="Calibri"/>
                <w:b w:val="0"/>
                <w:i w:val="0"/>
                <w:color w:val="000000"/>
                <w:sz w:val="15"/>
              </w:rPr>
              <w:t>0.2</w:t>
            </w:r>
          </w:p>
        </w:tc>
        <w:tc>
          <w:tcPr>
            <w:tcW w:type="dxa" w:w="2498"/>
          </w:tcPr>
          <w:p>
            <w:pPr>
              <w:spacing w:after="0"/>
            </w:pPr>
            <w:r>
              <w:rPr>
                <w:rFonts w:ascii="Calibri" w:hAnsi="Calibri"/>
                <w:b w:val="0"/>
                <w:i w:val="0"/>
                <w:color w:val="000000"/>
                <w:sz w:val="15"/>
              </w:rPr>
              <w:t>Allowed market-cap/share-price reconstruction difference before a flag.</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WEIGHT_VALUATION</w:t>
            </w:r>
          </w:p>
        </w:tc>
        <w:tc>
          <w:tcPr>
            <w:tcW w:type="dxa" w:w="2498"/>
          </w:tcPr>
          <w:p>
            <w:pPr>
              <w:spacing w:after="0"/>
            </w:pPr>
            <w:r>
              <w:rPr>
                <w:rFonts w:ascii="Calibri" w:hAnsi="Calibri"/>
                <w:b w:val="0"/>
                <w:i w:val="0"/>
                <w:color w:val="000000"/>
                <w:sz w:val="15"/>
              </w:rPr>
              <w:t>14.0</w:t>
            </w:r>
          </w:p>
        </w:tc>
        <w:tc>
          <w:tcPr>
            <w:tcW w:type="dxa" w:w="2498"/>
          </w:tcPr>
          <w:p>
            <w:pPr>
              <w:spacing w:after="0"/>
            </w:pPr>
            <w:r>
              <w:rPr>
                <w:rFonts w:ascii="Calibri" w:hAnsi="Calibri"/>
                <w:b w:val="0"/>
                <w:i w:val="0"/>
                <w:color w:val="000000"/>
                <w:sz w:val="15"/>
              </w:rPr>
              <w:t>Relative weight of valuation.</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WEIGHT_GROWTH</w:t>
            </w:r>
          </w:p>
        </w:tc>
        <w:tc>
          <w:tcPr>
            <w:tcW w:type="dxa" w:w="2498"/>
          </w:tcPr>
          <w:p>
            <w:pPr>
              <w:spacing w:after="0"/>
            </w:pPr>
            <w:r>
              <w:rPr>
                <w:rFonts w:ascii="Calibri" w:hAnsi="Calibri"/>
                <w:b w:val="0"/>
                <w:i w:val="0"/>
                <w:color w:val="000000"/>
                <w:sz w:val="15"/>
              </w:rPr>
              <w:t>12.0</w:t>
            </w:r>
          </w:p>
        </w:tc>
        <w:tc>
          <w:tcPr>
            <w:tcW w:type="dxa" w:w="2498"/>
          </w:tcPr>
          <w:p>
            <w:pPr>
              <w:spacing w:after="0"/>
            </w:pPr>
            <w:r>
              <w:rPr>
                <w:rFonts w:ascii="Calibri" w:hAnsi="Calibri"/>
                <w:b w:val="0"/>
                <w:i w:val="0"/>
                <w:color w:val="000000"/>
                <w:sz w:val="15"/>
              </w:rPr>
              <w:t>Relative weight of growth.</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WEIGHT_PROFITABILITY_AND_RETURNS</w:t>
            </w:r>
          </w:p>
        </w:tc>
        <w:tc>
          <w:tcPr>
            <w:tcW w:type="dxa" w:w="2498"/>
          </w:tcPr>
          <w:p>
            <w:pPr>
              <w:spacing w:after="0"/>
            </w:pPr>
            <w:r>
              <w:rPr>
                <w:rFonts w:ascii="Calibri" w:hAnsi="Calibri"/>
                <w:b w:val="0"/>
                <w:i w:val="0"/>
                <w:color w:val="000000"/>
                <w:sz w:val="15"/>
              </w:rPr>
              <w:t>16.0</w:t>
            </w:r>
          </w:p>
        </w:tc>
        <w:tc>
          <w:tcPr>
            <w:tcW w:type="dxa" w:w="2498"/>
          </w:tcPr>
          <w:p>
            <w:pPr>
              <w:spacing w:after="0"/>
            </w:pPr>
            <w:r>
              <w:rPr>
                <w:rFonts w:ascii="Calibri" w:hAnsi="Calibri"/>
                <w:b w:val="0"/>
                <w:i w:val="0"/>
                <w:color w:val="000000"/>
                <w:sz w:val="15"/>
              </w:rPr>
              <w:t>Relative weight of profitability and returns.</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WEIGHT_BALANCE_SHEET_AND_LEVERAGE</w:t>
            </w:r>
          </w:p>
        </w:tc>
        <w:tc>
          <w:tcPr>
            <w:tcW w:type="dxa" w:w="2498"/>
          </w:tcPr>
          <w:p>
            <w:pPr>
              <w:spacing w:after="0"/>
            </w:pPr>
            <w:r>
              <w:rPr>
                <w:rFonts w:ascii="Calibri" w:hAnsi="Calibri"/>
                <w:b w:val="0"/>
                <w:i w:val="0"/>
                <w:color w:val="000000"/>
                <w:sz w:val="15"/>
              </w:rPr>
              <w:t>14.0</w:t>
            </w:r>
          </w:p>
        </w:tc>
        <w:tc>
          <w:tcPr>
            <w:tcW w:type="dxa" w:w="2498"/>
          </w:tcPr>
          <w:p>
            <w:pPr>
              <w:spacing w:after="0"/>
            </w:pPr>
            <w:r>
              <w:rPr>
                <w:rFonts w:ascii="Calibri" w:hAnsi="Calibri"/>
                <w:b w:val="0"/>
                <w:i w:val="0"/>
                <w:color w:val="000000"/>
                <w:sz w:val="15"/>
              </w:rPr>
              <w:t>Relative weight of balance sheet and leverage.</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WEIGHT_LIQUIDITY_AND_EFFICIENCY</w:t>
            </w:r>
          </w:p>
        </w:tc>
        <w:tc>
          <w:tcPr>
            <w:tcW w:type="dxa" w:w="2498"/>
          </w:tcPr>
          <w:p>
            <w:pPr>
              <w:spacing w:after="0"/>
            </w:pPr>
            <w:r>
              <w:rPr>
                <w:rFonts w:ascii="Calibri" w:hAnsi="Calibri"/>
                <w:b w:val="0"/>
                <w:i w:val="0"/>
                <w:color w:val="000000"/>
                <w:sz w:val="15"/>
              </w:rPr>
              <w:t>8.0</w:t>
            </w:r>
          </w:p>
        </w:tc>
        <w:tc>
          <w:tcPr>
            <w:tcW w:type="dxa" w:w="2498"/>
          </w:tcPr>
          <w:p>
            <w:pPr>
              <w:spacing w:after="0"/>
            </w:pPr>
            <w:r>
              <w:rPr>
                <w:rFonts w:ascii="Calibri" w:hAnsi="Calibri"/>
                <w:b w:val="0"/>
                <w:i w:val="0"/>
                <w:color w:val="000000"/>
                <w:sz w:val="15"/>
              </w:rPr>
              <w:t>Relative weight of liquidity and efficiency.</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WEIGHT_EARNINGS_QUALITY</w:t>
            </w:r>
          </w:p>
        </w:tc>
        <w:tc>
          <w:tcPr>
            <w:tcW w:type="dxa" w:w="2498"/>
          </w:tcPr>
          <w:p>
            <w:pPr>
              <w:spacing w:after="0"/>
            </w:pPr>
            <w:r>
              <w:rPr>
                <w:rFonts w:ascii="Calibri" w:hAnsi="Calibri"/>
                <w:b w:val="0"/>
                <w:i w:val="0"/>
                <w:color w:val="000000"/>
                <w:sz w:val="15"/>
              </w:rPr>
              <w:t>6.0</w:t>
            </w:r>
          </w:p>
        </w:tc>
        <w:tc>
          <w:tcPr>
            <w:tcW w:type="dxa" w:w="2498"/>
          </w:tcPr>
          <w:p>
            <w:pPr>
              <w:spacing w:after="0"/>
            </w:pPr>
            <w:r>
              <w:rPr>
                <w:rFonts w:ascii="Calibri" w:hAnsi="Calibri"/>
                <w:b w:val="0"/>
                <w:i w:val="0"/>
                <w:color w:val="000000"/>
                <w:sz w:val="15"/>
              </w:rPr>
              <w:t>Relative weight of earnings quality.</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WEIGHT_ESTIMATES_AND_REVISIONS</w:t>
            </w:r>
          </w:p>
        </w:tc>
        <w:tc>
          <w:tcPr>
            <w:tcW w:type="dxa" w:w="2498"/>
          </w:tcPr>
          <w:p>
            <w:pPr>
              <w:spacing w:after="0"/>
            </w:pPr>
            <w:r>
              <w:rPr>
                <w:rFonts w:ascii="Calibri" w:hAnsi="Calibri"/>
                <w:b w:val="0"/>
                <w:i w:val="0"/>
                <w:color w:val="000000"/>
                <w:sz w:val="15"/>
              </w:rPr>
              <w:t>10.0</w:t>
            </w:r>
          </w:p>
        </w:tc>
        <w:tc>
          <w:tcPr>
            <w:tcW w:type="dxa" w:w="2498"/>
          </w:tcPr>
          <w:p>
            <w:pPr>
              <w:spacing w:after="0"/>
            </w:pPr>
            <w:r>
              <w:rPr>
                <w:rFonts w:ascii="Calibri" w:hAnsi="Calibri"/>
                <w:b w:val="0"/>
                <w:i w:val="0"/>
                <w:color w:val="000000"/>
                <w:sz w:val="15"/>
              </w:rPr>
              <w:t>Relative weight of estimates and revisions.</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WEIGHT_SHAREHOLDER_AND_YIELD</w:t>
            </w:r>
          </w:p>
        </w:tc>
        <w:tc>
          <w:tcPr>
            <w:tcW w:type="dxa" w:w="2498"/>
          </w:tcPr>
          <w:p>
            <w:pPr>
              <w:spacing w:after="0"/>
            </w:pPr>
            <w:r>
              <w:rPr>
                <w:rFonts w:ascii="Calibri" w:hAnsi="Calibri"/>
                <w:b w:val="0"/>
                <w:i w:val="0"/>
                <w:color w:val="000000"/>
                <w:sz w:val="15"/>
              </w:rPr>
              <w:t>4.0</w:t>
            </w:r>
          </w:p>
        </w:tc>
        <w:tc>
          <w:tcPr>
            <w:tcW w:type="dxa" w:w="2498"/>
          </w:tcPr>
          <w:p>
            <w:pPr>
              <w:spacing w:after="0"/>
            </w:pPr>
            <w:r>
              <w:rPr>
                <w:rFonts w:ascii="Calibri" w:hAnsi="Calibri"/>
                <w:b w:val="0"/>
                <w:i w:val="0"/>
                <w:color w:val="000000"/>
                <w:sz w:val="15"/>
              </w:rPr>
              <w:t>Relative weight of shareholder and yield.</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WEIGHT_MARKET_BEHAVIOUR</w:t>
            </w:r>
          </w:p>
        </w:tc>
        <w:tc>
          <w:tcPr>
            <w:tcW w:type="dxa" w:w="2498"/>
          </w:tcPr>
          <w:p>
            <w:pPr>
              <w:spacing w:after="0"/>
            </w:pPr>
            <w:r>
              <w:rPr>
                <w:rFonts w:ascii="Calibri" w:hAnsi="Calibri"/>
                <w:b w:val="0"/>
                <w:i w:val="0"/>
                <w:color w:val="000000"/>
                <w:sz w:val="15"/>
              </w:rPr>
              <w:t>6.0</w:t>
            </w:r>
          </w:p>
        </w:tc>
        <w:tc>
          <w:tcPr>
            <w:tcW w:type="dxa" w:w="2498"/>
          </w:tcPr>
          <w:p>
            <w:pPr>
              <w:spacing w:after="0"/>
            </w:pPr>
            <w:r>
              <w:rPr>
                <w:rFonts w:ascii="Calibri" w:hAnsi="Calibri"/>
                <w:b w:val="0"/>
                <w:i w:val="0"/>
                <w:color w:val="000000"/>
                <w:sz w:val="15"/>
              </w:rPr>
              <w:t>Relative weight of market behaviour.</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WEIGHT_BROKER_AND_TARGET</w:t>
            </w:r>
          </w:p>
        </w:tc>
        <w:tc>
          <w:tcPr>
            <w:tcW w:type="dxa" w:w="2498"/>
          </w:tcPr>
          <w:p>
            <w:pPr>
              <w:spacing w:after="0"/>
            </w:pPr>
            <w:r>
              <w:rPr>
                <w:rFonts w:ascii="Calibri" w:hAnsi="Calibri"/>
                <w:b w:val="0"/>
                <w:i w:val="0"/>
                <w:color w:val="000000"/>
                <w:sz w:val="15"/>
              </w:rPr>
              <w:t>3.0</w:t>
            </w:r>
          </w:p>
        </w:tc>
        <w:tc>
          <w:tcPr>
            <w:tcW w:type="dxa" w:w="2498"/>
          </w:tcPr>
          <w:p>
            <w:pPr>
              <w:spacing w:after="0"/>
            </w:pPr>
            <w:r>
              <w:rPr>
                <w:rFonts w:ascii="Calibri" w:hAnsi="Calibri"/>
                <w:b w:val="0"/>
                <w:i w:val="0"/>
                <w:color w:val="000000"/>
                <w:sz w:val="15"/>
              </w:rPr>
              <w:t>Relative weight of broker and target.</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WEIGHT_TRADABILITY</w:t>
            </w:r>
          </w:p>
        </w:tc>
        <w:tc>
          <w:tcPr>
            <w:tcW w:type="dxa" w:w="2498"/>
          </w:tcPr>
          <w:p>
            <w:pPr>
              <w:spacing w:after="0"/>
            </w:pPr>
            <w:r>
              <w:rPr>
                <w:rFonts w:ascii="Calibri" w:hAnsi="Calibri"/>
                <w:b w:val="0"/>
                <w:i w:val="0"/>
                <w:color w:val="000000"/>
                <w:sz w:val="15"/>
              </w:rPr>
              <w:t>2.0</w:t>
            </w:r>
          </w:p>
        </w:tc>
        <w:tc>
          <w:tcPr>
            <w:tcW w:type="dxa" w:w="2498"/>
          </w:tcPr>
          <w:p>
            <w:pPr>
              <w:spacing w:after="0"/>
            </w:pPr>
            <w:r>
              <w:rPr>
                <w:rFonts w:ascii="Calibri" w:hAnsi="Calibri"/>
                <w:b w:val="0"/>
                <w:i w:val="0"/>
                <w:color w:val="000000"/>
                <w:sz w:val="15"/>
              </w:rPr>
              <w:t>Relative weight of tradability.</w:t>
            </w:r>
          </w:p>
        </w:tc>
      </w:tr>
      <w:tr>
        <w:trPr>
          <w:cantSplit/>
        </w:trPr>
        <w:tc>
          <w:tcPr>
            <w:tcW w:type="dxa" w:w="2498"/>
          </w:tcPr>
          <w:p>
            <w:pPr>
              <w:spacing w:after="0"/>
            </w:pPr>
            <w:r>
              <w:rPr>
                <w:rFonts w:ascii="Calibri" w:hAnsi="Calibri"/>
                <w:b w:val="0"/>
                <w:i w:val="0"/>
                <w:color w:val="000000"/>
                <w:sz w:val="15"/>
              </w:rPr>
              <w:t>Family weight</w:t>
            </w:r>
          </w:p>
        </w:tc>
        <w:tc>
          <w:tcPr>
            <w:tcW w:type="dxa" w:w="2498"/>
          </w:tcPr>
          <w:p>
            <w:pPr>
              <w:spacing w:after="0"/>
            </w:pPr>
            <w:r>
              <w:rPr>
                <w:rFonts w:ascii="Calibri" w:hAnsi="Calibri"/>
                <w:b w:val="0"/>
                <w:i w:val="0"/>
                <w:color w:val="000000"/>
                <w:sz w:val="15"/>
              </w:rPr>
              <w:t>WEIGHT_RISK_AND_STABILITY</w:t>
            </w:r>
          </w:p>
        </w:tc>
        <w:tc>
          <w:tcPr>
            <w:tcW w:type="dxa" w:w="2498"/>
          </w:tcPr>
          <w:p>
            <w:pPr>
              <w:spacing w:after="0"/>
            </w:pPr>
            <w:r>
              <w:rPr>
                <w:rFonts w:ascii="Calibri" w:hAnsi="Calibri"/>
                <w:b w:val="0"/>
                <w:i w:val="0"/>
                <w:color w:val="000000"/>
                <w:sz w:val="15"/>
              </w:rPr>
              <w:t>5.0</w:t>
            </w:r>
          </w:p>
        </w:tc>
        <w:tc>
          <w:tcPr>
            <w:tcW w:type="dxa" w:w="2498"/>
          </w:tcPr>
          <w:p>
            <w:pPr>
              <w:spacing w:after="0"/>
            </w:pPr>
            <w:r>
              <w:rPr>
                <w:rFonts w:ascii="Calibri" w:hAnsi="Calibri"/>
                <w:b w:val="0"/>
                <w:i w:val="0"/>
                <w:color w:val="000000"/>
                <w:sz w:val="15"/>
              </w:rPr>
              <w:t>Relative weight of risk and stability.</w:t>
            </w:r>
          </w:p>
        </w:tc>
      </w:tr>
      <w:tr>
        <w:trPr>
          <w:cantSplit/>
        </w:trPr>
        <w:tc>
          <w:tcPr>
            <w:tcW w:type="dxa" w:w="2498"/>
          </w:tcPr>
          <w:p>
            <w:pPr>
              <w:spacing w:after="0"/>
            </w:pPr>
            <w:r>
              <w:rPr>
                <w:rFonts w:ascii="Calibri" w:hAnsi="Calibri"/>
                <w:b w:val="0"/>
                <w:i w:val="0"/>
                <w:color w:val="000000"/>
                <w:sz w:val="15"/>
              </w:rPr>
              <w:t>Advanced weights</w:t>
            </w:r>
          </w:p>
        </w:tc>
        <w:tc>
          <w:tcPr>
            <w:tcW w:type="dxa" w:w="2498"/>
          </w:tcPr>
          <w:p>
            <w:pPr>
              <w:spacing w:after="0"/>
            </w:pPr>
            <w:r>
              <w:rPr>
                <w:rFonts w:ascii="Calibri" w:hAnsi="Calibri"/>
                <w:b w:val="0"/>
                <w:i w:val="0"/>
                <w:color w:val="000000"/>
                <w:sz w:val="15"/>
              </w:rPr>
              <w:t>SIGNAL_WEIGHTS_JSON</w:t>
            </w:r>
          </w:p>
        </w:tc>
        <w:tc>
          <w:tcPr>
            <w:tcW w:type="dxa" w:w="2498"/>
          </w:tcPr>
          <w:p>
            <w:pPr>
              <w:spacing w:after="0"/>
            </w:pPr>
            <w:r>
              <w:rPr>
                <w:rFonts w:ascii="Calibri" w:hAnsi="Calibri"/>
                <w:b w:val="0"/>
                <w:i w:val="0"/>
                <w:color w:val="000000"/>
                <w:sz w:val="15"/>
              </w:rPr>
              <w:t>{}</w:t>
            </w:r>
          </w:p>
        </w:tc>
        <w:tc>
          <w:tcPr>
            <w:tcW w:type="dxa" w:w="2498"/>
          </w:tcPr>
          <w:p>
            <w:pPr>
              <w:spacing w:after="0"/>
            </w:pPr>
            <w:r>
              <w:rPr>
                <w:rFonts w:ascii="Calibri" w:hAnsi="Calibri"/>
                <w:b w:val="0"/>
                <w:i w:val="0"/>
                <w:color w:val="000000"/>
                <w:sz w:val="15"/>
              </w:rPr>
              <w:t>Optional JSON object of individual signal weights; blank or {} uses 1.0.</w:t>
            </w:r>
          </w:p>
        </w:tc>
      </w:tr>
      <w:tr>
        <w:trPr>
          <w:cantSplit/>
        </w:trPr>
        <w:tc>
          <w:tcPr>
            <w:tcW w:type="dxa" w:w="2498"/>
          </w:tcPr>
          <w:p>
            <w:pPr>
              <w:spacing w:after="0"/>
            </w:pPr>
            <w:r>
              <w:rPr>
                <w:rFonts w:ascii="Calibri" w:hAnsi="Calibri"/>
                <w:b w:val="0"/>
                <w:i w:val="0"/>
                <w:color w:val="000000"/>
                <w:sz w:val="15"/>
              </w:rPr>
              <w:t>Advanced weights</w:t>
            </w:r>
          </w:p>
        </w:tc>
        <w:tc>
          <w:tcPr>
            <w:tcW w:type="dxa" w:w="2498"/>
          </w:tcPr>
          <w:p>
            <w:pPr>
              <w:spacing w:after="0"/>
            </w:pPr>
            <w:r>
              <w:rPr>
                <w:rFonts w:ascii="Calibri" w:hAnsi="Calibri"/>
                <w:b w:val="0"/>
                <w:i w:val="0"/>
                <w:color w:val="000000"/>
                <w:sz w:val="15"/>
              </w:rPr>
              <w:t>DUPLICATE_GROUP_WEIGHTS_JSON</w:t>
            </w:r>
          </w:p>
        </w:tc>
        <w:tc>
          <w:tcPr>
            <w:tcW w:type="dxa" w:w="2498"/>
          </w:tcPr>
          <w:p>
            <w:pPr>
              <w:spacing w:after="0"/>
            </w:pPr>
            <w:r>
              <w:rPr>
                <w:rFonts w:ascii="Calibri" w:hAnsi="Calibri"/>
                <w:b w:val="0"/>
                <w:i w:val="0"/>
                <w:color w:val="000000"/>
                <w:sz w:val="15"/>
              </w:rPr>
              <w:t>{}</w:t>
            </w:r>
          </w:p>
        </w:tc>
        <w:tc>
          <w:tcPr>
            <w:tcW w:type="dxa" w:w="2498"/>
          </w:tcPr>
          <w:p>
            <w:pPr>
              <w:spacing w:after="0"/>
            </w:pPr>
            <w:r>
              <w:rPr>
                <w:rFonts w:ascii="Calibri" w:hAnsi="Calibri"/>
                <w:b w:val="0"/>
                <w:i w:val="0"/>
                <w:color w:val="000000"/>
                <w:sz w:val="15"/>
              </w:rPr>
              <w:t>Optional JSON object of duplicate-group weights; blank or {} uses 1.0.</w:t>
            </w:r>
          </w:p>
        </w:tc>
      </w:tr>
    </w:tbl>
    <w:p>
      <w:pPr>
        <w:spacing w:after="20"/>
      </w:pPr>
    </w:p>
    <w:p>
      <w:pPr>
        <w:pStyle w:val="Heading2"/>
      </w:pPr>
      <w:r>
        <w:t>20.1 Control validation</w:t>
      </w:r>
    </w:p>
    <w:p>
      <w:pPr>
        <w:spacing w:after="80" w:line="259" w:lineRule="auto"/>
      </w:pPr>
      <w:r>
        <w:rPr>
          <w:rFonts w:ascii="Calibri" w:hAnsi="Calibri"/>
          <w:b w:val="0"/>
          <w:i w:val="0"/>
          <w:color w:val="000000"/>
          <w:sz w:val="19"/>
        </w:rPr>
        <w:t>Counts must be positive integers; the peer minimum must be at least 2; coverage settings must lie from 0 to 1; confidence and score thresholds must lie from 0 to 100; shrinkage must be non-negative; z cap must be positive; the direction threshold must not exceed the z cap; debt/equity maximum must be positive; book divergence must be blank or non-negative; liquidity thresholds and floors must lie in their valid ranges; confidence weights must be non-negative with a positive total; tolerances must be non-negative; the eligible-type list cannot be empty; and all signal, group and family weights must be finite and non-negative with at least one positive family weight.</w:t>
      </w:r>
    </w:p>
    <w:p>
      <w:pPr>
        <w:pStyle w:val="Heading2"/>
      </w:pPr>
      <w:r>
        <w:t>20.2 Advanced weights</w:t>
      </w:r>
    </w:p>
    <w:p>
      <w:pPr>
        <w:spacing w:after="80" w:line="259" w:lineRule="auto"/>
      </w:pPr>
      <w:r>
        <w:rPr>
          <w:rFonts w:ascii="Calibri" w:hAnsi="Calibri"/>
          <w:b w:val="0"/>
          <w:i w:val="0"/>
          <w:color w:val="000000"/>
          <w:sz w:val="19"/>
        </w:rPr>
        <w:t>Signal-weight and duplicate-group-weight overrides are supplied as named weight maps. Unnamed signals/groups default to 1. Family weights are separately exposed. These controls alter relative influence but do not alter peer statistics, factor direction or raw feature formulas.</w:t>
      </w:r>
    </w:p>
    <w:p>
      <w:pPr>
        <w:pStyle w:val="Heading1"/>
      </w:pPr>
      <w:r>
        <w:t>21. Publication and workbook architecture</w:t>
      </w:r>
    </w:p>
    <w:p>
      <w:pPr>
        <w:pStyle w:val="Heading2"/>
      </w:pPr>
      <w:r>
        <w:t>21.1 Human-facing summaries</w:t>
      </w:r>
    </w:p>
    <w:p>
      <w:pPr>
        <w:pStyle w:val="ListBullet"/>
        <w:spacing w:after="40" w:line="250" w:lineRule="auto"/>
      </w:pPr>
      <w:r>
        <w:rPr>
          <w:rFonts w:ascii="Calibri" w:hAnsi="Calibri"/>
          <w:b w:val="0"/>
          <w:i w:val="0"/>
          <w:color w:val="000000"/>
          <w:sz w:val="19"/>
        </w:rPr>
        <w:t>The obsolete Primary Summary is deleted; the three retained strategy summaries remain.</w:t>
      </w:r>
    </w:p>
    <w:p>
      <w:pPr>
        <w:pStyle w:val="ListBullet"/>
        <w:spacing w:after="40" w:line="250" w:lineRule="auto"/>
      </w:pPr>
      <w:r>
        <w:rPr>
          <w:rFonts w:ascii="Calibri" w:hAnsi="Calibri"/>
          <w:b w:val="0"/>
          <w:i w:val="0"/>
          <w:color w:val="000000"/>
          <w:sz w:val="19"/>
        </w:rPr>
        <w:t>Industry Summary aggregates counts and diagnostic statistics by industry.</w:t>
      </w:r>
    </w:p>
    <w:p>
      <w:pPr>
        <w:pStyle w:val="ListBullet"/>
        <w:spacing w:after="40" w:line="250" w:lineRule="auto"/>
      </w:pPr>
      <w:r>
        <w:rPr>
          <w:rFonts w:ascii="Calibri" w:hAnsi="Calibri"/>
          <w:b w:val="0"/>
          <w:i w:val="0"/>
          <w:color w:val="000000"/>
          <w:sz w:val="19"/>
        </w:rPr>
        <w:t>Each industry tab contains diagnostics, quant-long, quant-short and full-ranking sections.</w:t>
      </w:r>
    </w:p>
    <w:p>
      <w:pPr>
        <w:pStyle w:val="ListBullet"/>
        <w:spacing w:after="40" w:line="250" w:lineRule="auto"/>
      </w:pPr>
      <w:r>
        <w:rPr>
          <w:rFonts w:ascii="Calibri" w:hAnsi="Calibri"/>
          <w:b w:val="0"/>
          <w:i w:val="0"/>
          <w:color w:val="000000"/>
          <w:sz w:val="19"/>
        </w:rPr>
        <w:t>The Control Panel is published with editable values visually distinguished from labels and descriptions.</w:t>
      </w:r>
    </w:p>
    <w:p>
      <w:pPr>
        <w:pStyle w:val="Heading2"/>
      </w:pPr>
      <w:r>
        <w:t>21.2 Batch-write design</w:t>
      </w:r>
    </w:p>
    <w:p>
      <w:pPr>
        <w:spacing w:after="80" w:line="259" w:lineRule="auto"/>
      </w:pPr>
      <w:r>
        <w:rPr>
          <w:rFonts w:ascii="Calibri" w:hAnsi="Calibri"/>
          <w:b w:val="0"/>
          <w:i w:val="0"/>
          <w:color w:val="000000"/>
          <w:sz w:val="19"/>
        </w:rPr>
        <w:t>Sheet values are converted to JSON-safe native values. Missing and non-finite values are rendered as ‘NO DATA’; dates are rendered in ISO form. Existing merges and conditional formatting are cleared, target ranges are cleared, values are written in raw mode, and formatting is rebuilt. Requests are chunked to limit API payload size.</w:t>
      </w:r>
    </w:p>
    <w:p>
      <w:pPr>
        <w:pStyle w:val="Heading2"/>
      </w:pPr>
      <w:r>
        <w:t>21.3 Retry behavior</w:t>
      </w:r>
    </w:p>
    <w:p>
      <w:pPr>
        <w:spacing w:after="80" w:line="259" w:lineRule="auto"/>
      </w:pPr>
      <w:r>
        <w:rPr>
          <w:rFonts w:ascii="Calibri" w:hAnsi="Calibri"/>
          <w:b w:val="0"/>
          <w:i w:val="0"/>
          <w:color w:val="000000"/>
          <w:sz w:val="19"/>
        </w:rPr>
        <w:t>Transient Google errors—request timeout, rate limiting and common 5xx responses—are retried up to six attempts. A valid Retry-After header is respected; otherwise delay increases exponentially from five seconds and is capped at sixty seconds. Connection and timeout errors follow the same retry policy. Non-transient errors are raised immediately.</w:t>
      </w:r>
    </w:p>
    <w:p>
      <w:pPr>
        <w:pStyle w:val="Heading2"/>
      </w:pPr>
      <w:r>
        <w:t>21.4 Layout behavior</w:t>
      </w:r>
    </w:p>
    <w:p>
      <w:pPr>
        <w:spacing w:after="80" w:line="259" w:lineRule="auto"/>
      </w:pPr>
      <w:r>
        <w:rPr>
          <w:rFonts w:ascii="Calibri" w:hAnsi="Calibri"/>
          <w:b w:val="0"/>
          <w:i w:val="0"/>
          <w:color w:val="000000"/>
          <w:sz w:val="19"/>
        </w:rPr>
        <w:t>The writer expands sheets when necessary, freezes headers, applies section-specific colours and number formats, resizes columns, and caps widths. Industry section ranges are calculated from actual row counts, so long and short formatting remains aligned when candidate counts differ.</w:t>
      </w:r>
    </w:p>
    <w:p>
      <w:pPr>
        <w:pStyle w:val="Heading1"/>
      </w:pPr>
      <w:r>
        <w:t>22. Local audit architecture</w:t>
      </w:r>
    </w:p>
    <w:p>
      <w:pPr>
        <w:spacing w:after="80" w:line="259" w:lineRule="auto"/>
      </w:pPr>
      <w:r>
        <w:rPr>
          <w:rFonts w:ascii="Calibri" w:hAnsi="Calibri"/>
          <w:b w:val="0"/>
          <w:i w:val="0"/>
          <w:color w:val="000000"/>
          <w:sz w:val="19"/>
        </w:rPr>
        <w:t>Local outputs are produced even for live runs. They provide a durable record independent of the presentation workbook.</w:t>
      </w:r>
    </w:p>
    <w:p>
      <w:pPr>
        <w:pStyle w:val="ListBullet"/>
        <w:spacing w:after="40" w:line="250" w:lineRule="auto"/>
      </w:pPr>
      <w:r>
        <w:rPr>
          <w:rFonts w:ascii="Calibri" w:hAnsi="Calibri"/>
          <w:b w:val="0"/>
          <w:i w:val="0"/>
          <w:color w:val="000000"/>
          <w:sz w:val="19"/>
        </w:rPr>
        <w:t>Full audit CSV containing original fields, derived features, peer statistics, family scores, contributions, ranks, gates and flags.</w:t>
      </w:r>
    </w:p>
    <w:p>
      <w:pPr>
        <w:pStyle w:val="ListBullet"/>
        <w:spacing w:after="40" w:line="250" w:lineRule="auto"/>
      </w:pPr>
      <w:r>
        <w:rPr>
          <w:rFonts w:ascii="Calibri" w:hAnsi="Calibri"/>
          <w:b w:val="0"/>
          <w:i w:val="0"/>
          <w:color w:val="000000"/>
          <w:sz w:val="19"/>
        </w:rPr>
        <w:t>Parquet version when the available runtime supports it.</w:t>
      </w:r>
    </w:p>
    <w:p>
      <w:pPr>
        <w:pStyle w:val="ListBullet"/>
        <w:spacing w:after="40" w:line="250" w:lineRule="auto"/>
      </w:pPr>
      <w:r>
        <w:rPr>
          <w:rFonts w:ascii="Calibri" w:hAnsi="Calibri"/>
          <w:b w:val="0"/>
          <w:i w:val="0"/>
          <w:color w:val="000000"/>
          <w:sz w:val="19"/>
        </w:rPr>
        <w:t>Quant and industry summary CSVs.</w:t>
      </w:r>
    </w:p>
    <w:p>
      <w:pPr>
        <w:pStyle w:val="ListBullet"/>
        <w:spacing w:after="40" w:line="250" w:lineRule="auto"/>
      </w:pPr>
      <w:r>
        <w:rPr>
          <w:rFonts w:ascii="Calibri" w:hAnsi="Calibri"/>
          <w:b w:val="0"/>
          <w:i w:val="0"/>
          <w:color w:val="000000"/>
          <w:sz w:val="19"/>
        </w:rPr>
        <w:t>One collision-safe ranking preview per industry; stale previews from earlier runs are removed.</w:t>
      </w:r>
    </w:p>
    <w:p>
      <w:pPr>
        <w:pStyle w:val="ListBullet"/>
        <w:spacing w:after="40" w:line="250" w:lineRule="auto"/>
      </w:pPr>
      <w:r>
        <w:rPr>
          <w:rFonts w:ascii="Calibri" w:hAnsi="Calibri"/>
          <w:b w:val="0"/>
          <w:i w:val="0"/>
          <w:color w:val="000000"/>
          <w:sz w:val="19"/>
        </w:rPr>
        <w:t>Excluded-universe CSV with one explicit exclusion reason per row.</w:t>
      </w:r>
    </w:p>
    <w:p>
      <w:pPr>
        <w:pStyle w:val="ListBullet"/>
        <w:spacing w:after="40" w:line="250" w:lineRule="auto"/>
      </w:pPr>
      <w:r>
        <w:rPr>
          <w:rFonts w:ascii="Calibri" w:hAnsi="Calibri"/>
          <w:b w:val="0"/>
          <w:i w:val="0"/>
          <w:color w:val="000000"/>
          <w:sz w:val="19"/>
        </w:rPr>
        <w:t>Feature registry describing inputs, formulas, units, validity, family, direction and duplicate group.</w:t>
      </w:r>
    </w:p>
    <w:p>
      <w:pPr>
        <w:pStyle w:val="ListBullet"/>
        <w:spacing w:after="40" w:line="250" w:lineRule="auto"/>
      </w:pPr>
      <w:r>
        <w:rPr>
          <w:rFonts w:ascii="Calibri" w:hAnsi="Calibri"/>
          <w:b w:val="0"/>
          <w:i w:val="0"/>
          <w:color w:val="000000"/>
          <w:sz w:val="19"/>
        </w:rPr>
        <w:t>Control snapshot, unavailable-calculation registry and tab reconciliation manifest.</w:t>
      </w:r>
    </w:p>
    <w:p>
      <w:pPr>
        <w:pStyle w:val="ListBullet"/>
        <w:spacing w:after="40" w:line="250" w:lineRule="auto"/>
      </w:pPr>
      <w:r>
        <w:rPr>
          <w:rFonts w:ascii="Calibri" w:hAnsi="Calibri"/>
          <w:b w:val="0"/>
          <w:i w:val="0"/>
          <w:color w:val="000000"/>
          <w:sz w:val="19"/>
        </w:rPr>
        <w:t>JSON and CSV run summaries containing counts, metadata and output paths.</w:t>
      </w:r>
    </w:p>
    <w:p>
      <w:pPr>
        <w:spacing w:after="80" w:line="259" w:lineRule="auto"/>
      </w:pPr>
      <w:r>
        <w:rPr>
          <w:rFonts w:ascii="Calibri" w:hAnsi="Calibri"/>
          <w:b w:val="0"/>
          <w:i w:val="0"/>
          <w:color w:val="000000"/>
          <w:sz w:val="19"/>
        </w:rPr>
        <w:t>Industry filenames are sanitised. Empty or colliding names receive a stable hash suffix, preventing one industry preview from overwriting another.</w:t>
      </w:r>
    </w:p>
    <w:p>
      <w:pPr>
        <w:pStyle w:val="Heading1"/>
      </w:pPr>
      <w:r>
        <w:t>23. Validation and fail-closed behavior</w:t>
      </w:r>
    </w:p>
    <w:p>
      <w:pPr>
        <w:spacing w:after="80" w:line="259" w:lineRule="auto"/>
      </w:pPr>
      <w:r>
        <w:rPr>
          <w:rFonts w:ascii="Calibri" w:hAnsi="Calibri"/>
          <w:b w:val="0"/>
          <w:i w:val="0"/>
          <w:color w:val="000000"/>
          <w:sz w:val="19"/>
        </w:rPr>
        <w:t>Validation is a final independent defence. A run fails instead of publishing when any invariant below is breached.</w:t>
      </w:r>
    </w:p>
    <w:p>
      <w:pPr>
        <w:pStyle w:val="ListBullet"/>
        <w:spacing w:after="40" w:line="250" w:lineRule="auto"/>
      </w:pPr>
      <w:r>
        <w:rPr>
          <w:rFonts w:ascii="Calibri" w:hAnsi="Calibri"/>
          <w:b w:val="0"/>
          <w:i w:val="0"/>
          <w:color w:val="000000"/>
          <w:sz w:val="19"/>
        </w:rPr>
        <w:t>Expanded, requested and confidence scores must stay within 0–100.</w:t>
      </w:r>
    </w:p>
    <w:p>
      <w:pPr>
        <w:pStyle w:val="ListBullet"/>
        <w:spacing w:after="40" w:line="250" w:lineRule="auto"/>
      </w:pPr>
      <w:r>
        <w:rPr>
          <w:rFonts w:ascii="Calibri" w:hAnsi="Calibri"/>
          <w:b w:val="0"/>
          <w:i w:val="0"/>
          <w:color w:val="000000"/>
          <w:sz w:val="19"/>
        </w:rPr>
        <w:t>Available expanded and requested long/short pairs must sum to 100 within numerical tolerance.</w:t>
      </w:r>
    </w:p>
    <w:p>
      <w:pPr>
        <w:pStyle w:val="ListBullet"/>
        <w:spacing w:after="40" w:line="250" w:lineRule="auto"/>
      </w:pPr>
      <w:r>
        <w:rPr>
          <w:rFonts w:ascii="Calibri" w:hAnsi="Calibri"/>
          <w:b w:val="0"/>
          <w:i w:val="0"/>
          <w:color w:val="000000"/>
          <w:sz w:val="19"/>
        </w:rPr>
        <w:t>A ticker cannot hold conflicting selected directions.</w:t>
      </w:r>
    </w:p>
    <w:p>
      <w:pPr>
        <w:pStyle w:val="ListBullet"/>
        <w:spacing w:after="40" w:line="250" w:lineRule="auto"/>
      </w:pPr>
      <w:r>
        <w:rPr>
          <w:rFonts w:ascii="Calibri" w:hAnsi="Calibri"/>
          <w:b w:val="0"/>
          <w:i w:val="0"/>
          <w:color w:val="000000"/>
          <w:sz w:val="19"/>
        </w:rPr>
        <w:t>A selected candidate must have SUFFICIENT data, pass the confidence threshold, pass score thresholds, satisfy per-industry and global count limits, and pass every active risk gate.</w:t>
      </w:r>
    </w:p>
    <w:p>
      <w:pPr>
        <w:pStyle w:val="ListBullet"/>
        <w:spacing w:after="40" w:line="250" w:lineRule="auto"/>
      </w:pPr>
      <w:r>
        <w:rPr>
          <w:rFonts w:ascii="Calibri" w:hAnsi="Calibri"/>
          <w:b w:val="0"/>
          <w:i w:val="0"/>
          <w:color w:val="000000"/>
          <w:sz w:val="19"/>
        </w:rPr>
        <w:t>Every candidate must pass the sector-aware balance-sheet gate applicable to its company type and strategy.</w:t>
      </w:r>
    </w:p>
    <w:p>
      <w:pPr>
        <w:pStyle w:val="ListBullet"/>
        <w:spacing w:after="40" w:line="250" w:lineRule="auto"/>
      </w:pPr>
      <w:r>
        <w:rPr>
          <w:rFonts w:ascii="Calibri" w:hAnsi="Calibri"/>
          <w:b w:val="0"/>
          <w:i w:val="0"/>
          <w:color w:val="000000"/>
          <w:sz w:val="19"/>
        </w:rPr>
        <w:t>When enabled, book/price divergence must be present and no greater than its maximum.</w:t>
      </w:r>
    </w:p>
    <w:p>
      <w:pPr>
        <w:pStyle w:val="ListBullet"/>
        <w:spacing w:after="40" w:line="250" w:lineRule="auto"/>
      </w:pPr>
      <w:r>
        <w:rPr>
          <w:rFonts w:ascii="Calibri" w:hAnsi="Calibri"/>
          <w:b w:val="0"/>
          <w:i w:val="0"/>
          <w:color w:val="000000"/>
          <w:sz w:val="19"/>
        </w:rPr>
        <w:t>Destination reconciliation must find every required tab before live writing begins.</w:t>
      </w:r>
    </w:p>
    <w:p>
      <w:pPr>
        <w:spacing w:after="80" w:line="259" w:lineRule="auto"/>
      </w:pPr>
      <w:r>
        <w:rPr>
          <w:rFonts w:ascii="Calibri" w:hAnsi="Calibri"/>
          <w:b w:val="0"/>
          <w:i w:val="0"/>
          <w:color w:val="000000"/>
          <w:sz w:val="19"/>
        </w:rPr>
        <w:t>This is fail-closed design: missing information that is required to prove a hard condition does not count as a pass.</w:t>
      </w:r>
    </w:p>
    <w:p>
      <w:pPr>
        <w:pStyle w:val="Heading1"/>
      </w:pPr>
      <w:r>
        <w:t>24. Module-by-module architecture</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D9EAF7"/>
          </w:tcPr>
          <w:p>
            <w:r>
              <w:rPr>
                <w:rFonts w:ascii="Calibri" w:hAnsi="Calibri"/>
                <w:b/>
                <w:i w:val="0"/>
                <w:color w:val="000000"/>
                <w:sz w:val="16"/>
              </w:rPr>
              <w:t>Component</w:t>
            </w:r>
          </w:p>
        </w:tc>
        <w:tc>
          <w:tcPr>
            <w:tcW w:type="dxa" w:w="4997"/>
            <w:shd w:fill="D9EAF7"/>
          </w:tcPr>
          <w:p>
            <w:r>
              <w:rPr>
                <w:rFonts w:ascii="Calibri" w:hAnsi="Calibri"/>
                <w:b/>
                <w:i w:val="0"/>
                <w:color w:val="000000"/>
                <w:sz w:val="16"/>
              </w:rPr>
              <w:t>Responsibility</w:t>
            </w:r>
          </w:p>
        </w:tc>
      </w:tr>
      <w:tr>
        <w:trPr>
          <w:cantSplit/>
        </w:trPr>
        <w:tc>
          <w:tcPr>
            <w:tcW w:type="dxa" w:w="4997"/>
          </w:tcPr>
          <w:p>
            <w:pPr>
              <w:spacing w:after="0"/>
            </w:pPr>
            <w:r>
              <w:rPr>
                <w:rFonts w:ascii="Calibri" w:hAnsi="Calibri"/>
                <w:b w:val="0"/>
                <w:i w:val="0"/>
                <w:color w:val="000000"/>
                <w:sz w:val="15"/>
              </w:rPr>
              <w:t>Main orchestration</w:t>
            </w:r>
          </w:p>
        </w:tc>
        <w:tc>
          <w:tcPr>
            <w:tcW w:type="dxa" w:w="4997"/>
          </w:tcPr>
          <w:p>
            <w:pPr>
              <w:spacing w:after="0"/>
            </w:pPr>
            <w:r>
              <w:rPr>
                <w:rFonts w:ascii="Calibri" w:hAnsi="Calibri"/>
                <w:b w:val="0"/>
                <w:i w:val="0"/>
                <w:color w:val="000000"/>
                <w:sz w:val="15"/>
              </w:rPr>
              <w:t>Parses execution options, enforces mode exclusivity, runs every pipeline stage in order, reports progress, validates and returns the run summary.</w:t>
            </w:r>
          </w:p>
        </w:tc>
      </w:tr>
      <w:tr>
        <w:trPr>
          <w:cantSplit/>
        </w:trPr>
        <w:tc>
          <w:tcPr>
            <w:tcW w:type="dxa" w:w="4997"/>
          </w:tcPr>
          <w:p>
            <w:pPr>
              <w:spacing w:after="0"/>
            </w:pPr>
            <w:r>
              <w:rPr>
                <w:rFonts w:ascii="Calibri" w:hAnsi="Calibri"/>
                <w:b w:val="0"/>
                <w:i w:val="0"/>
                <w:color w:val="000000"/>
                <w:sz w:val="15"/>
              </w:rPr>
              <w:t>Configuration</w:t>
            </w:r>
          </w:p>
        </w:tc>
        <w:tc>
          <w:tcPr>
            <w:tcW w:type="dxa" w:w="4997"/>
          </w:tcPr>
          <w:p>
            <w:pPr>
              <w:spacing w:after="0"/>
            </w:pPr>
            <w:r>
              <w:rPr>
                <w:rFonts w:ascii="Calibri" w:hAnsi="Calibri"/>
                <w:b w:val="0"/>
                <w:i w:val="0"/>
                <w:color w:val="000000"/>
                <w:sz w:val="15"/>
              </w:rPr>
              <w:t>Loads environment/base defaults, defines all control descriptions, resets and applies the Control Panel transactionally, parses booleans/lists/weight maps and validates parameter ranges.</w:t>
            </w:r>
          </w:p>
        </w:tc>
      </w:tr>
      <w:tr>
        <w:trPr>
          <w:cantSplit/>
        </w:trPr>
        <w:tc>
          <w:tcPr>
            <w:tcW w:type="dxa" w:w="4997"/>
          </w:tcPr>
          <w:p>
            <w:pPr>
              <w:spacing w:after="0"/>
            </w:pPr>
            <w:r>
              <w:rPr>
                <w:rFonts w:ascii="Calibri" w:hAnsi="Calibri"/>
                <w:b w:val="0"/>
                <w:i w:val="0"/>
                <w:color w:val="000000"/>
                <w:sz w:val="15"/>
              </w:rPr>
              <w:t>Schema</w:t>
            </w:r>
          </w:p>
        </w:tc>
        <w:tc>
          <w:tcPr>
            <w:tcW w:type="dxa" w:w="4997"/>
          </w:tcPr>
          <w:p>
            <w:pPr>
              <w:spacing w:after="0"/>
            </w:pPr>
            <w:r>
              <w:rPr>
                <w:rFonts w:ascii="Calibri" w:hAnsi="Calibri"/>
                <w:b w:val="0"/>
                <w:i w:val="0"/>
                <w:color w:val="000000"/>
                <w:sz w:val="15"/>
              </w:rPr>
              <w:t>Defines source-field mappings, required headers, identity/date fields and the explicit unavailable-calculation registry.</w:t>
            </w:r>
          </w:p>
        </w:tc>
      </w:tr>
      <w:tr>
        <w:trPr>
          <w:cantSplit/>
        </w:trPr>
        <w:tc>
          <w:tcPr>
            <w:tcW w:type="dxa" w:w="4997"/>
          </w:tcPr>
          <w:p>
            <w:pPr>
              <w:spacing w:after="0"/>
            </w:pPr>
            <w:r>
              <w:rPr>
                <w:rFonts w:ascii="Calibri" w:hAnsi="Calibri"/>
                <w:b w:val="0"/>
                <w:i w:val="0"/>
                <w:color w:val="000000"/>
                <w:sz w:val="15"/>
              </w:rPr>
              <w:t>Reader</w:t>
            </w:r>
          </w:p>
        </w:tc>
        <w:tc>
          <w:tcPr>
            <w:tcW w:type="dxa" w:w="4997"/>
          </w:tcPr>
          <w:p>
            <w:pPr>
              <w:spacing w:after="0"/>
            </w:pPr>
            <w:r>
              <w:rPr>
                <w:rFonts w:ascii="Calibri" w:hAnsi="Calibri"/>
                <w:b w:val="0"/>
                <w:i w:val="0"/>
                <w:color w:val="000000"/>
                <w:sz w:val="15"/>
              </w:rPr>
              <w:t>Reads local workbook tabs or Google Sheets; discovers service-account credentials; captures workbook metadata; extracts Control Panel rows below its Parameter/Value header.</w:t>
            </w:r>
          </w:p>
        </w:tc>
      </w:tr>
      <w:tr>
        <w:trPr>
          <w:cantSplit/>
        </w:trPr>
        <w:tc>
          <w:tcPr>
            <w:tcW w:type="dxa" w:w="4997"/>
          </w:tcPr>
          <w:p>
            <w:pPr>
              <w:spacing w:after="0"/>
            </w:pPr>
            <w:r>
              <w:rPr>
                <w:rFonts w:ascii="Calibri" w:hAnsi="Calibri"/>
                <w:b w:val="0"/>
                <w:i w:val="0"/>
                <w:color w:val="000000"/>
                <w:sz w:val="15"/>
              </w:rPr>
              <w:t>Cleaner</w:t>
            </w:r>
          </w:p>
        </w:tc>
        <w:tc>
          <w:tcPr>
            <w:tcW w:type="dxa" w:w="4997"/>
          </w:tcPr>
          <w:p>
            <w:pPr>
              <w:spacing w:after="0"/>
            </w:pPr>
            <w:r>
              <w:rPr>
                <w:rFonts w:ascii="Calibri" w:hAnsi="Calibri"/>
                <w:b w:val="0"/>
                <w:i w:val="0"/>
                <w:color w:val="000000"/>
                <w:sz w:val="15"/>
              </w:rPr>
              <w:t>Normalises identity strings, converts numeric columns and attaches Source Row lineage.</w:t>
            </w:r>
          </w:p>
        </w:tc>
      </w:tr>
      <w:tr>
        <w:trPr>
          <w:cantSplit/>
        </w:trPr>
        <w:tc>
          <w:tcPr>
            <w:tcW w:type="dxa" w:w="4997"/>
          </w:tcPr>
          <w:p>
            <w:pPr>
              <w:spacing w:after="0"/>
            </w:pPr>
            <w:r>
              <w:rPr>
                <w:rFonts w:ascii="Calibri" w:hAnsi="Calibri"/>
                <w:b w:val="0"/>
                <w:i w:val="0"/>
                <w:color w:val="000000"/>
                <w:sz w:val="15"/>
              </w:rPr>
              <w:t>Universe</w:t>
            </w:r>
          </w:p>
        </w:tc>
        <w:tc>
          <w:tcPr>
            <w:tcW w:type="dxa" w:w="4997"/>
          </w:tcPr>
          <w:p>
            <w:pPr>
              <w:spacing w:after="0"/>
            </w:pPr>
            <w:r>
              <w:rPr>
                <w:rFonts w:ascii="Calibri" w:hAnsi="Calibri"/>
                <w:b w:val="0"/>
                <w:i w:val="0"/>
                <w:color w:val="000000"/>
                <w:sz w:val="15"/>
              </w:rPr>
              <w:t>Applies eligibility rules, assigns exclusion reasons and rejects duplicate eligible tickers.</w:t>
            </w:r>
          </w:p>
        </w:tc>
      </w:tr>
      <w:tr>
        <w:trPr>
          <w:cantSplit/>
        </w:trPr>
        <w:tc>
          <w:tcPr>
            <w:tcW w:type="dxa" w:w="4997"/>
          </w:tcPr>
          <w:p>
            <w:pPr>
              <w:spacing w:after="0"/>
            </w:pPr>
            <w:r>
              <w:rPr>
                <w:rFonts w:ascii="Calibri" w:hAnsi="Calibri"/>
                <w:b w:val="0"/>
                <w:i w:val="0"/>
                <w:color w:val="000000"/>
                <w:sz w:val="15"/>
              </w:rPr>
              <w:t>Transformations</w:t>
            </w:r>
          </w:p>
        </w:tc>
        <w:tc>
          <w:tcPr>
            <w:tcW w:type="dxa" w:w="4997"/>
          </w:tcPr>
          <w:p>
            <w:pPr>
              <w:spacing w:after="0"/>
            </w:pPr>
            <w:r>
              <w:rPr>
                <w:rFonts w:ascii="Calibri" w:hAnsi="Calibri"/>
                <w:b w:val="0"/>
                <w:i w:val="0"/>
                <w:color w:val="000000"/>
                <w:sz w:val="15"/>
              </w:rPr>
              <w:t>Implements safe numeric primitives, EG2 sign rules, the governed feature registry, feature calculation, reason columns, optionability notes and registry export.</w:t>
            </w:r>
          </w:p>
        </w:tc>
      </w:tr>
      <w:tr>
        <w:trPr>
          <w:cantSplit/>
        </w:trPr>
        <w:tc>
          <w:tcPr>
            <w:tcW w:type="dxa" w:w="4997"/>
          </w:tcPr>
          <w:p>
            <w:pPr>
              <w:spacing w:after="0"/>
            </w:pPr>
            <w:r>
              <w:rPr>
                <w:rFonts w:ascii="Calibri" w:hAnsi="Calibri"/>
                <w:b w:val="0"/>
                <w:i w:val="0"/>
                <w:color w:val="000000"/>
                <w:sz w:val="15"/>
              </w:rPr>
              <w:t>Peer statistics</w:t>
            </w:r>
          </w:p>
        </w:tc>
        <w:tc>
          <w:tcPr>
            <w:tcW w:type="dxa" w:w="4997"/>
          </w:tcPr>
          <w:p>
            <w:pPr>
              <w:spacing w:after="0"/>
            </w:pPr>
            <w:r>
              <w:rPr>
                <w:rFonts w:ascii="Calibri" w:hAnsi="Calibri"/>
                <w:b w:val="0"/>
                <w:i w:val="0"/>
                <w:color w:val="000000"/>
                <w:sz w:val="15"/>
              </w:rPr>
              <w:t>Calculates factor-specific hierarchical statistics, mixture variance, z-scores, percentiles, robust diagnostics, common peer scores and liquidity policy fields.</w:t>
            </w:r>
          </w:p>
        </w:tc>
      </w:tr>
      <w:tr>
        <w:trPr>
          <w:cantSplit/>
        </w:trPr>
        <w:tc>
          <w:tcPr>
            <w:tcW w:type="dxa" w:w="4997"/>
          </w:tcPr>
          <w:p>
            <w:pPr>
              <w:spacing w:after="0"/>
            </w:pPr>
            <w:r>
              <w:rPr>
                <w:rFonts w:ascii="Calibri" w:hAnsi="Calibri"/>
                <w:b w:val="0"/>
                <w:i w:val="0"/>
                <w:color w:val="000000"/>
                <w:sz w:val="15"/>
              </w:rPr>
              <w:t>Quant composite</w:t>
            </w:r>
          </w:p>
        </w:tc>
        <w:tc>
          <w:tcPr>
            <w:tcW w:type="dxa" w:w="4997"/>
          </w:tcPr>
          <w:p>
            <w:pPr>
              <w:spacing w:after="0"/>
            </w:pPr>
            <w:r>
              <w:rPr>
                <w:rFonts w:ascii="Calibri" w:hAnsi="Calibri"/>
                <w:b w:val="0"/>
                <w:i w:val="0"/>
                <w:color w:val="000000"/>
                <w:sz w:val="15"/>
              </w:rPr>
              <w:t>Orients factor evidence, aggregates signals through duplicate groups and families, calculates coverage, raw scores, contributions and reliability-adjusted scores.</w:t>
            </w:r>
          </w:p>
        </w:tc>
      </w:tr>
      <w:tr>
        <w:trPr>
          <w:cantSplit/>
        </w:trPr>
        <w:tc>
          <w:tcPr>
            <w:tcW w:type="dxa" w:w="4997"/>
          </w:tcPr>
          <w:p>
            <w:pPr>
              <w:spacing w:after="0"/>
            </w:pPr>
            <w:r>
              <w:rPr>
                <w:rFonts w:ascii="Calibri" w:hAnsi="Calibri"/>
                <w:b w:val="0"/>
                <w:i w:val="0"/>
                <w:color w:val="000000"/>
                <w:sz w:val="15"/>
              </w:rPr>
              <w:t>Strategy overlays</w:t>
            </w:r>
          </w:p>
        </w:tc>
        <w:tc>
          <w:tcPr>
            <w:tcW w:type="dxa" w:w="4997"/>
          </w:tcPr>
          <w:p>
            <w:pPr>
              <w:spacing w:after="0"/>
            </w:pPr>
            <w:r>
              <w:rPr>
                <w:rFonts w:ascii="Calibri" w:hAnsi="Calibri"/>
                <w:b w:val="0"/>
                <w:i w:val="0"/>
                <w:color w:val="000000"/>
                <w:sz w:val="15"/>
              </w:rPr>
              <w:t>Reweights the same audited family evidence for Safe, High Growth Potential and Turnaround Story.</w:t>
            </w:r>
          </w:p>
        </w:tc>
      </w:tr>
      <w:tr>
        <w:trPr>
          <w:cantSplit/>
        </w:trPr>
        <w:tc>
          <w:tcPr>
            <w:tcW w:type="dxa" w:w="4997"/>
          </w:tcPr>
          <w:p>
            <w:pPr>
              <w:spacing w:after="0"/>
            </w:pPr>
            <w:r>
              <w:rPr>
                <w:rFonts w:ascii="Calibri" w:hAnsi="Calibri"/>
                <w:b w:val="0"/>
                <w:i w:val="0"/>
                <w:color w:val="000000"/>
                <w:sz w:val="15"/>
              </w:rPr>
              <w:t>Ranking</w:t>
            </w:r>
          </w:p>
        </w:tc>
        <w:tc>
          <w:tcPr>
            <w:tcW w:type="dxa" w:w="4997"/>
          </w:tcPr>
          <w:p>
            <w:pPr>
              <w:spacing w:after="0"/>
            </w:pPr>
            <w:r>
              <w:rPr>
                <w:rFonts w:ascii="Calibri" w:hAnsi="Calibri"/>
                <w:b w:val="0"/>
                <w:i w:val="0"/>
                <w:color w:val="000000"/>
                <w:sz w:val="15"/>
              </w:rPr>
              <w:t>Creates deterministic industry ranks, applies sufficient-data, confidence, score, debt and book gates, resolves overlaps and enforces global long/short caps.</w:t>
            </w:r>
          </w:p>
        </w:tc>
      </w:tr>
      <w:tr>
        <w:trPr>
          <w:cantSplit/>
        </w:trPr>
        <w:tc>
          <w:tcPr>
            <w:tcW w:type="dxa" w:w="4997"/>
          </w:tcPr>
          <w:p>
            <w:pPr>
              <w:spacing w:after="0"/>
            </w:pPr>
            <w:r>
              <w:rPr>
                <w:rFonts w:ascii="Calibri" w:hAnsi="Calibri"/>
                <w:b w:val="0"/>
                <w:i w:val="0"/>
                <w:color w:val="000000"/>
                <w:sz w:val="15"/>
              </w:rPr>
              <w:t>Validation</w:t>
            </w:r>
          </w:p>
        </w:tc>
        <w:tc>
          <w:tcPr>
            <w:tcW w:type="dxa" w:w="4997"/>
          </w:tcPr>
          <w:p>
            <w:pPr>
              <w:spacing w:after="0"/>
            </w:pPr>
            <w:r>
              <w:rPr>
                <w:rFonts w:ascii="Calibri" w:hAnsi="Calibri"/>
                <w:b w:val="0"/>
                <w:i w:val="0"/>
                <w:color w:val="000000"/>
                <w:sz w:val="15"/>
              </w:rPr>
              <w:t>Checks numeric ranges, score complementarity, candidate exclusivity, limits, thresholds, confidence, hard gates and reconciliation warnings.</w:t>
            </w:r>
          </w:p>
        </w:tc>
      </w:tr>
      <w:tr>
        <w:trPr>
          <w:cantSplit/>
        </w:trPr>
        <w:tc>
          <w:tcPr>
            <w:tcW w:type="dxa" w:w="4997"/>
          </w:tcPr>
          <w:p>
            <w:pPr>
              <w:spacing w:after="0"/>
            </w:pPr>
            <w:r>
              <w:rPr>
                <w:rFonts w:ascii="Calibri" w:hAnsi="Calibri"/>
                <w:b w:val="0"/>
                <w:i w:val="0"/>
                <w:color w:val="000000"/>
                <w:sz w:val="15"/>
              </w:rPr>
              <w:t>Sheet writer</w:t>
            </w:r>
          </w:p>
        </w:tc>
        <w:tc>
          <w:tcPr>
            <w:tcW w:type="dxa" w:w="4997"/>
          </w:tcPr>
          <w:p>
            <w:pPr>
              <w:spacing w:after="0"/>
            </w:pPr>
            <w:r>
              <w:rPr>
                <w:rFonts w:ascii="Calibri" w:hAnsi="Calibri"/>
                <w:b w:val="0"/>
                <w:i w:val="0"/>
                <w:color w:val="000000"/>
                <w:sz w:val="15"/>
              </w:rPr>
              <w:t>Builds summaries and industry payloads, validates destinations, reconciles tabs, cleans/formats sheets, batches requests, retries transient failures and verifies writes.</w:t>
            </w:r>
          </w:p>
        </w:tc>
      </w:tr>
      <w:tr>
        <w:trPr>
          <w:cantSplit/>
        </w:trPr>
        <w:tc>
          <w:tcPr>
            <w:tcW w:type="dxa" w:w="4997"/>
          </w:tcPr>
          <w:p>
            <w:pPr>
              <w:spacing w:after="0"/>
            </w:pPr>
            <w:r>
              <w:rPr>
                <w:rFonts w:ascii="Calibri" w:hAnsi="Calibri"/>
                <w:b w:val="0"/>
                <w:i w:val="0"/>
                <w:color w:val="000000"/>
                <w:sz w:val="15"/>
              </w:rPr>
              <w:t>Audit writer</w:t>
            </w:r>
          </w:p>
        </w:tc>
        <w:tc>
          <w:tcPr>
            <w:tcW w:type="dxa" w:w="4997"/>
          </w:tcPr>
          <w:p>
            <w:pPr>
              <w:spacing w:after="0"/>
            </w:pPr>
            <w:r>
              <w:rPr>
                <w:rFonts w:ascii="Calibri" w:hAnsi="Calibri"/>
                <w:b w:val="0"/>
                <w:i w:val="0"/>
                <w:color w:val="000000"/>
                <w:sz w:val="15"/>
              </w:rPr>
              <w:t>Writes full and summary artifacts, registries, manifests, run metadata and collision-safe industry previews.</w:t>
            </w:r>
          </w:p>
        </w:tc>
      </w:tr>
      <w:tr>
        <w:trPr>
          <w:cantSplit/>
        </w:trPr>
        <w:tc>
          <w:tcPr>
            <w:tcW w:type="dxa" w:w="4997"/>
          </w:tcPr>
          <w:p>
            <w:pPr>
              <w:spacing w:after="0"/>
            </w:pPr>
            <w:r>
              <w:rPr>
                <w:rFonts w:ascii="Calibri" w:hAnsi="Calibri"/>
                <w:b w:val="0"/>
                <w:i w:val="0"/>
                <w:color w:val="000000"/>
                <w:sz w:val="15"/>
              </w:rPr>
              <w:t>Tests</w:t>
            </w:r>
          </w:p>
        </w:tc>
        <w:tc>
          <w:tcPr>
            <w:tcW w:type="dxa" w:w="4997"/>
          </w:tcPr>
          <w:p>
            <w:pPr>
              <w:spacing w:after="0"/>
            </w:pPr>
            <w:r>
              <w:rPr>
                <w:rFonts w:ascii="Calibri" w:hAnsi="Calibri"/>
                <w:b w:val="0"/>
                <w:i w:val="0"/>
                <w:color w:val="000000"/>
                <w:sz w:val="15"/>
              </w:rPr>
              <w:t>Exercises schema, transformations, robust peer blending, no-US fallback, redundancy groups, structural exclusions, payout/liquidity policies, ranking, gates, summaries, reconstruction and transactional controls.</w:t>
            </w:r>
          </w:p>
        </w:tc>
      </w:tr>
    </w:tbl>
    <w:p>
      <w:pPr>
        <w:spacing w:after="20"/>
      </w:pPr>
    </w:p>
    <w:p>
      <w:pPr>
        <w:pStyle w:val="Heading1"/>
      </w:pPr>
      <w:r>
        <w:t>25. Data lineage through the scoring architecture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shd w:fill="D9EAF7"/>
          </w:tcPr>
          <w:p>
            <w:r>
              <w:rPr>
                <w:rFonts w:ascii="Calibri" w:hAnsi="Calibri"/>
                <w:b/>
                <w:i w:val="0"/>
                <w:color w:val="000000"/>
                <w:sz w:val="16"/>
              </w:rPr>
              <w:t>Layer</w:t>
            </w:r>
          </w:p>
        </w:tc>
        <w:tc>
          <w:tcPr>
            <w:tcW w:type="dxa" w:w="3331"/>
            <w:shd w:fill="D9EAF7"/>
          </w:tcPr>
          <w:p>
            <w:r>
              <w:rPr>
                <w:rFonts w:ascii="Calibri" w:hAnsi="Calibri"/>
                <w:b/>
                <w:i w:val="0"/>
                <w:color w:val="000000"/>
                <w:sz w:val="16"/>
              </w:rPr>
              <w:t>Example</w:t>
            </w:r>
          </w:p>
        </w:tc>
        <w:tc>
          <w:tcPr>
            <w:tcW w:type="dxa" w:w="3331"/>
            <w:shd w:fill="D9EAF7"/>
          </w:tcPr>
          <w:p>
            <w:r>
              <w:rPr>
                <w:rFonts w:ascii="Calibri" w:hAnsi="Calibri"/>
                <w:b/>
                <w:i w:val="0"/>
                <w:color w:val="000000"/>
                <w:sz w:val="16"/>
              </w:rPr>
              <w:t>Question answered</w:t>
            </w:r>
          </w:p>
        </w:tc>
      </w:tr>
      <w:tr>
        <w:trPr>
          <w:cantSplit/>
        </w:trPr>
        <w:tc>
          <w:tcPr>
            <w:tcW w:type="dxa" w:w="3331"/>
          </w:tcPr>
          <w:p>
            <w:pPr>
              <w:spacing w:after="0"/>
            </w:pPr>
            <w:r>
              <w:rPr>
                <w:rFonts w:ascii="Calibri" w:hAnsi="Calibri"/>
                <w:b w:val="0"/>
                <w:i w:val="0"/>
                <w:color w:val="000000"/>
                <w:sz w:val="15"/>
              </w:rPr>
              <w:t>Raw source</w:t>
            </w:r>
          </w:p>
        </w:tc>
        <w:tc>
          <w:tcPr>
            <w:tcW w:type="dxa" w:w="3331"/>
          </w:tcPr>
          <w:p>
            <w:pPr>
              <w:spacing w:after="0"/>
            </w:pPr>
            <w:r>
              <w:rPr>
                <w:rFonts w:ascii="Calibri" w:hAnsi="Calibri"/>
                <w:b w:val="0"/>
                <w:i w:val="0"/>
                <w:color w:val="000000"/>
                <w:sz w:val="15"/>
              </w:rPr>
              <w:t>Net Margin %, Last Close, Total Debt/Equity</w:t>
            </w:r>
          </w:p>
        </w:tc>
        <w:tc>
          <w:tcPr>
            <w:tcW w:type="dxa" w:w="3331"/>
          </w:tcPr>
          <w:p>
            <w:pPr>
              <w:spacing w:after="0"/>
            </w:pPr>
            <w:r>
              <w:rPr>
                <w:rFonts w:ascii="Calibri" w:hAnsi="Calibri"/>
                <w:b w:val="0"/>
                <w:i w:val="0"/>
                <w:color w:val="000000"/>
                <w:sz w:val="15"/>
              </w:rPr>
              <w:t>What did the vendor supply?</w:t>
            </w:r>
          </w:p>
        </w:tc>
      </w:tr>
      <w:tr>
        <w:trPr>
          <w:cantSplit/>
        </w:trPr>
        <w:tc>
          <w:tcPr>
            <w:tcW w:type="dxa" w:w="3331"/>
          </w:tcPr>
          <w:p>
            <w:pPr>
              <w:spacing w:after="0"/>
            </w:pPr>
            <w:r>
              <w:rPr>
                <w:rFonts w:ascii="Calibri" w:hAnsi="Calibri"/>
                <w:b w:val="0"/>
                <w:i w:val="0"/>
                <w:color w:val="000000"/>
                <w:sz w:val="15"/>
              </w:rPr>
              <w:t>Derived feature</w:t>
            </w:r>
          </w:p>
        </w:tc>
        <w:tc>
          <w:tcPr>
            <w:tcW w:type="dxa" w:w="3331"/>
          </w:tcPr>
          <w:p>
            <w:pPr>
              <w:spacing w:after="0"/>
            </w:pPr>
            <w:r>
              <w:rPr>
                <w:rFonts w:ascii="Calibri" w:hAnsi="Calibri"/>
                <w:b w:val="0"/>
                <w:i w:val="0"/>
                <w:color w:val="000000"/>
                <w:sz w:val="15"/>
              </w:rPr>
              <w:t>Earnings yield, debt/equity ratio, book divergence</w:t>
            </w:r>
          </w:p>
        </w:tc>
        <w:tc>
          <w:tcPr>
            <w:tcW w:type="dxa" w:w="3331"/>
          </w:tcPr>
          <w:p>
            <w:pPr>
              <w:spacing w:after="0"/>
            </w:pPr>
            <w:r>
              <w:rPr>
                <w:rFonts w:ascii="Calibri" w:hAnsi="Calibri"/>
                <w:b w:val="0"/>
                <w:i w:val="0"/>
                <w:color w:val="000000"/>
                <w:sz w:val="15"/>
              </w:rPr>
              <w:t>What economically meaningful quantity is calculated?</w:t>
            </w:r>
          </w:p>
        </w:tc>
      </w:tr>
      <w:tr>
        <w:trPr>
          <w:cantSplit/>
        </w:trPr>
        <w:tc>
          <w:tcPr>
            <w:tcW w:type="dxa" w:w="3331"/>
          </w:tcPr>
          <w:p>
            <w:pPr>
              <w:spacing w:after="0"/>
            </w:pPr>
            <w:r>
              <w:rPr>
                <w:rFonts w:ascii="Calibri" w:hAnsi="Calibri"/>
                <w:b w:val="0"/>
                <w:i w:val="0"/>
                <w:color w:val="000000"/>
                <w:sz w:val="15"/>
              </w:rPr>
              <w:t>Peer statistics</w:t>
            </w:r>
          </w:p>
        </w:tc>
        <w:tc>
          <w:tcPr>
            <w:tcW w:type="dxa" w:w="3331"/>
          </w:tcPr>
          <w:p>
            <w:pPr>
              <w:spacing w:after="0"/>
            </w:pPr>
            <w:r>
              <w:rPr>
                <w:rFonts w:ascii="Calibri" w:hAnsi="Calibri"/>
                <w:b w:val="0"/>
                <w:i w:val="0"/>
                <w:color w:val="000000"/>
                <w:sz w:val="15"/>
              </w:rPr>
              <w:t>Industry/sector counts, μ, σ, z, percentile</w:t>
            </w:r>
          </w:p>
        </w:tc>
        <w:tc>
          <w:tcPr>
            <w:tcW w:type="dxa" w:w="3331"/>
          </w:tcPr>
          <w:p>
            <w:pPr>
              <w:spacing w:after="0"/>
            </w:pPr>
            <w:r>
              <w:rPr>
                <w:rFonts w:ascii="Calibri" w:hAnsi="Calibri"/>
                <w:b w:val="0"/>
                <w:i w:val="0"/>
                <w:color w:val="000000"/>
                <w:sz w:val="15"/>
              </w:rPr>
              <w:t>How does the value compare with relevant peers?</w:t>
            </w:r>
          </w:p>
        </w:tc>
      </w:tr>
      <w:tr>
        <w:trPr>
          <w:cantSplit/>
        </w:trPr>
        <w:tc>
          <w:tcPr>
            <w:tcW w:type="dxa" w:w="3331"/>
          </w:tcPr>
          <w:p>
            <w:pPr>
              <w:spacing w:after="0"/>
            </w:pPr>
            <w:r>
              <w:rPr>
                <w:rFonts w:ascii="Calibri" w:hAnsi="Calibri"/>
                <w:b w:val="0"/>
                <w:i w:val="0"/>
                <w:color w:val="000000"/>
                <w:sz w:val="15"/>
              </w:rPr>
              <w:t>Peer score</w:t>
            </w:r>
          </w:p>
        </w:tc>
        <w:tc>
          <w:tcPr>
            <w:tcW w:type="dxa" w:w="3331"/>
          </w:tcPr>
          <w:p>
            <w:pPr>
              <w:spacing w:after="0"/>
            </w:pPr>
            <w:r>
              <w:rPr>
                <w:rFonts w:ascii="Calibri" w:hAnsi="Calibri"/>
                <w:b w:val="0"/>
                <w:i w:val="0"/>
                <w:color w:val="000000"/>
                <w:sz w:val="15"/>
              </w:rPr>
              <w:t>P from 0 to 100</w:t>
            </w:r>
          </w:p>
        </w:tc>
        <w:tc>
          <w:tcPr>
            <w:tcW w:type="dxa" w:w="3331"/>
          </w:tcPr>
          <w:p>
            <w:pPr>
              <w:spacing w:after="0"/>
            </w:pPr>
            <w:r>
              <w:rPr>
                <w:rFonts w:ascii="Calibri" w:hAnsi="Calibri"/>
                <w:b w:val="0"/>
                <w:i w:val="0"/>
                <w:color w:val="000000"/>
                <w:sz w:val="15"/>
              </w:rPr>
              <w:t>What common-scale statistical position does it occupy?</w:t>
            </w:r>
          </w:p>
        </w:tc>
      </w:tr>
      <w:tr>
        <w:trPr>
          <w:cantSplit/>
        </w:trPr>
        <w:tc>
          <w:tcPr>
            <w:tcW w:type="dxa" w:w="3331"/>
          </w:tcPr>
          <w:p>
            <w:pPr>
              <w:spacing w:after="0"/>
            </w:pPr>
            <w:r>
              <w:rPr>
                <w:rFonts w:ascii="Calibri" w:hAnsi="Calibri"/>
                <w:b w:val="0"/>
                <w:i w:val="0"/>
                <w:color w:val="000000"/>
                <w:sz w:val="15"/>
              </w:rPr>
              <w:t>Oriented evidence</w:t>
            </w:r>
          </w:p>
        </w:tc>
        <w:tc>
          <w:tcPr>
            <w:tcW w:type="dxa" w:w="3331"/>
          </w:tcPr>
          <w:p>
            <w:pPr>
              <w:spacing w:after="0"/>
            </w:pPr>
            <w:r>
              <w:rPr>
                <w:rFonts w:ascii="Calibri" w:hAnsi="Calibri"/>
                <w:b w:val="0"/>
                <w:i w:val="0"/>
                <w:color w:val="000000"/>
                <w:sz w:val="15"/>
              </w:rPr>
              <w:t>Long=P or 100−P</w:t>
            </w:r>
          </w:p>
        </w:tc>
        <w:tc>
          <w:tcPr>
            <w:tcW w:type="dxa" w:w="3331"/>
          </w:tcPr>
          <w:p>
            <w:pPr>
              <w:spacing w:after="0"/>
            </w:pPr>
            <w:r>
              <w:rPr>
                <w:rFonts w:ascii="Calibri" w:hAnsi="Calibri"/>
                <w:b w:val="0"/>
                <w:i w:val="0"/>
                <w:color w:val="000000"/>
                <w:sz w:val="15"/>
              </w:rPr>
              <w:t>Is high or low economically desirable?</w:t>
            </w:r>
          </w:p>
        </w:tc>
      </w:tr>
      <w:tr>
        <w:trPr>
          <w:cantSplit/>
        </w:trPr>
        <w:tc>
          <w:tcPr>
            <w:tcW w:type="dxa" w:w="3331"/>
          </w:tcPr>
          <w:p>
            <w:pPr>
              <w:spacing w:after="0"/>
            </w:pPr>
            <w:r>
              <w:rPr>
                <w:rFonts w:ascii="Calibri" w:hAnsi="Calibri"/>
                <w:b w:val="0"/>
                <w:i w:val="0"/>
                <w:color w:val="000000"/>
                <w:sz w:val="15"/>
              </w:rPr>
              <w:t>Duplicate group</w:t>
            </w:r>
          </w:p>
        </w:tc>
        <w:tc>
          <w:tcPr>
            <w:tcW w:type="dxa" w:w="3331"/>
          </w:tcPr>
          <w:p>
            <w:pPr>
              <w:spacing w:after="0"/>
            </w:pPr>
            <w:r>
              <w:rPr>
                <w:rFonts w:ascii="Calibri" w:hAnsi="Calibri"/>
                <w:b w:val="0"/>
                <w:i w:val="0"/>
                <w:color w:val="000000"/>
                <w:sz w:val="15"/>
              </w:rPr>
              <w:t>Weighted mean of correlated signals</w:t>
            </w:r>
          </w:p>
        </w:tc>
        <w:tc>
          <w:tcPr>
            <w:tcW w:type="dxa" w:w="3331"/>
          </w:tcPr>
          <w:p>
            <w:pPr>
              <w:spacing w:after="0"/>
            </w:pPr>
            <w:r>
              <w:rPr>
                <w:rFonts w:ascii="Calibri" w:hAnsi="Calibri"/>
                <w:b w:val="0"/>
                <w:i w:val="0"/>
                <w:color w:val="000000"/>
                <w:sz w:val="15"/>
              </w:rPr>
              <w:t>How is repeated exposure prevented from dominating?</w:t>
            </w:r>
          </w:p>
        </w:tc>
      </w:tr>
      <w:tr>
        <w:trPr>
          <w:cantSplit/>
        </w:trPr>
        <w:tc>
          <w:tcPr>
            <w:tcW w:type="dxa" w:w="3331"/>
          </w:tcPr>
          <w:p>
            <w:pPr>
              <w:spacing w:after="0"/>
            </w:pPr>
            <w:r>
              <w:rPr>
                <w:rFonts w:ascii="Calibri" w:hAnsi="Calibri"/>
                <w:b w:val="0"/>
                <w:i w:val="0"/>
                <w:color w:val="000000"/>
                <w:sz w:val="15"/>
              </w:rPr>
              <w:t>Family</w:t>
            </w:r>
          </w:p>
        </w:tc>
        <w:tc>
          <w:tcPr>
            <w:tcW w:type="dxa" w:w="3331"/>
          </w:tcPr>
          <w:p>
            <w:pPr>
              <w:spacing w:after="0"/>
            </w:pPr>
            <w:r>
              <w:rPr>
                <w:rFonts w:ascii="Calibri" w:hAnsi="Calibri"/>
                <w:b w:val="0"/>
                <w:i w:val="0"/>
                <w:color w:val="000000"/>
                <w:sz w:val="15"/>
              </w:rPr>
              <w:t>Weighted group mean subject to coverage</w:t>
            </w:r>
          </w:p>
        </w:tc>
        <w:tc>
          <w:tcPr>
            <w:tcW w:type="dxa" w:w="3331"/>
          </w:tcPr>
          <w:p>
            <w:pPr>
              <w:spacing w:after="0"/>
            </w:pPr>
            <w:r>
              <w:rPr>
                <w:rFonts w:ascii="Calibri" w:hAnsi="Calibri"/>
                <w:b w:val="0"/>
                <w:i w:val="0"/>
                <w:color w:val="000000"/>
                <w:sz w:val="15"/>
              </w:rPr>
              <w:t>What does one economic theme say?</w:t>
            </w:r>
          </w:p>
        </w:tc>
      </w:tr>
      <w:tr>
        <w:trPr>
          <w:cantSplit/>
        </w:trPr>
        <w:tc>
          <w:tcPr>
            <w:tcW w:type="dxa" w:w="3331"/>
          </w:tcPr>
          <w:p>
            <w:pPr>
              <w:spacing w:after="0"/>
            </w:pPr>
            <w:r>
              <w:rPr>
                <w:rFonts w:ascii="Calibri" w:hAnsi="Calibri"/>
                <w:b w:val="0"/>
                <w:i w:val="0"/>
                <w:color w:val="000000"/>
                <w:sz w:val="15"/>
              </w:rPr>
              <w:t>Expanded score</w:t>
            </w:r>
          </w:p>
        </w:tc>
        <w:tc>
          <w:tcPr>
            <w:tcW w:type="dxa" w:w="3331"/>
          </w:tcPr>
          <w:p>
            <w:pPr>
              <w:spacing w:after="0"/>
            </w:pPr>
            <w:r>
              <w:rPr>
                <w:rFonts w:ascii="Calibri" w:hAnsi="Calibri"/>
                <w:b w:val="0"/>
                <w:i w:val="0"/>
                <w:color w:val="000000"/>
                <w:sz w:val="15"/>
              </w:rPr>
              <w:t>Weighted admitted-family mean</w:t>
            </w:r>
          </w:p>
        </w:tc>
        <w:tc>
          <w:tcPr>
            <w:tcW w:type="dxa" w:w="3331"/>
          </w:tcPr>
          <w:p>
            <w:pPr>
              <w:spacing w:after="0"/>
            </w:pPr>
            <w:r>
              <w:rPr>
                <w:rFonts w:ascii="Calibri" w:hAnsi="Calibri"/>
                <w:b w:val="0"/>
                <w:i w:val="0"/>
                <w:color w:val="000000"/>
                <w:sz w:val="15"/>
              </w:rPr>
              <w:t>What is the total long/short conviction?</w:t>
            </w:r>
          </w:p>
        </w:tc>
      </w:tr>
      <w:tr>
        <w:trPr>
          <w:cantSplit/>
        </w:trPr>
        <w:tc>
          <w:tcPr>
            <w:tcW w:type="dxa" w:w="3331"/>
          </w:tcPr>
          <w:p>
            <w:pPr>
              <w:spacing w:after="0"/>
            </w:pPr>
            <w:r>
              <w:rPr>
                <w:rFonts w:ascii="Calibri" w:hAnsi="Calibri"/>
                <w:b w:val="0"/>
                <w:i w:val="0"/>
                <w:color w:val="000000"/>
                <w:sz w:val="15"/>
              </w:rPr>
              <w:t>Confidence</w:t>
            </w:r>
          </w:p>
        </w:tc>
        <w:tc>
          <w:tcPr>
            <w:tcW w:type="dxa" w:w="3331"/>
          </w:tcPr>
          <w:p>
            <w:pPr>
              <w:spacing w:after="0"/>
            </w:pPr>
            <w:r>
              <w:rPr>
                <w:rFonts w:ascii="Calibri" w:hAnsi="Calibri"/>
                <w:b w:val="0"/>
                <w:i w:val="0"/>
                <w:color w:val="000000"/>
                <w:sz w:val="15"/>
              </w:rPr>
              <w:t>Weighted factor/family completeness</w:t>
            </w:r>
          </w:p>
        </w:tc>
        <w:tc>
          <w:tcPr>
            <w:tcW w:type="dxa" w:w="3331"/>
          </w:tcPr>
          <w:p>
            <w:pPr>
              <w:spacing w:after="0"/>
            </w:pPr>
            <w:r>
              <w:rPr>
                <w:rFonts w:ascii="Calibri" w:hAnsi="Calibri"/>
                <w:b w:val="0"/>
                <w:i w:val="0"/>
                <w:color w:val="000000"/>
                <w:sz w:val="15"/>
              </w:rPr>
              <w:t>How much of the intended model supports the score?</w:t>
            </w:r>
          </w:p>
        </w:tc>
      </w:tr>
      <w:tr>
        <w:trPr>
          <w:cantSplit/>
        </w:trPr>
        <w:tc>
          <w:tcPr>
            <w:tcW w:type="dxa" w:w="3331"/>
          </w:tcPr>
          <w:p>
            <w:pPr>
              <w:spacing w:after="0"/>
            </w:pPr>
            <w:r>
              <w:rPr>
                <w:rFonts w:ascii="Calibri" w:hAnsi="Calibri"/>
                <w:b w:val="0"/>
                <w:i w:val="0"/>
                <w:color w:val="000000"/>
                <w:sz w:val="15"/>
              </w:rPr>
              <w:t>Candidate</w:t>
            </w:r>
          </w:p>
        </w:tc>
        <w:tc>
          <w:tcPr>
            <w:tcW w:type="dxa" w:w="3331"/>
          </w:tcPr>
          <w:p>
            <w:pPr>
              <w:spacing w:after="0"/>
            </w:pPr>
            <w:r>
              <w:rPr>
                <w:rFonts w:ascii="Calibri" w:hAnsi="Calibri"/>
                <w:b w:val="0"/>
                <w:i w:val="0"/>
                <w:color w:val="000000"/>
                <w:sz w:val="15"/>
              </w:rPr>
              <w:t>Gates + ranks + caps</w:t>
            </w:r>
          </w:p>
        </w:tc>
        <w:tc>
          <w:tcPr>
            <w:tcW w:type="dxa" w:w="3331"/>
          </w:tcPr>
          <w:p>
            <w:pPr>
              <w:spacing w:after="0"/>
            </w:pPr>
            <w:r>
              <w:rPr>
                <w:rFonts w:ascii="Calibri" w:hAnsi="Calibri"/>
                <w:b w:val="0"/>
                <w:i w:val="0"/>
                <w:color w:val="000000"/>
                <w:sz w:val="15"/>
              </w:rPr>
              <w:t>Is the evidence strong, complete and policy-compliant enough to enter the limited universe?</w:t>
            </w:r>
          </w:p>
        </w:tc>
      </w:tr>
    </w:tbl>
    <w:p>
      <w:pPr>
        <w:spacing w:after="20"/>
      </w:pPr>
    </w:p>
    <w:p>
      <w:pPr>
        <w:pStyle w:val="Heading1"/>
      </w:pPr>
      <w:r>
        <w:t>26. Fully worked end-to-end numerical example</w:t>
      </w:r>
    </w:p>
    <w:p>
      <w:pPr>
        <w:pStyle w:val="Heading2"/>
      </w:pPr>
      <w:r>
        <w:t>26.1 Peer calculation</w:t>
      </w:r>
    </w:p>
    <w:p>
      <w:pPr>
        <w:spacing w:after="80" w:line="259" w:lineRule="auto"/>
      </w:pPr>
      <w:r>
        <w:rPr>
          <w:rFonts w:ascii="Calibri" w:hAnsi="Calibri"/>
          <w:b w:val="0"/>
          <w:i w:val="0"/>
          <w:color w:val="000000"/>
          <w:sz w:val="19"/>
        </w:rPr>
        <w:t>For an illustrative worked example, assume a higher-is-better factor x=15, industry nᵢ=12 with mean 10 and variance 4, sector mean 8 and variance 9, k=8 and c=3. These example parameters are pedagogical, not the live controls.</w:t>
      </w:r>
    </w:p>
    <w:p>
      <w:pPr>
        <w:keepLines/>
        <w:spacing w:after="80"/>
        <w:jc w:val="center"/>
      </w:pPr>
      <w:r>
        <w:rPr>
          <w:rFonts w:ascii="Calibri" w:hAnsi="Calibri"/>
          <w:b w:val="0"/>
          <w:i/>
          <w:color w:val="1F1F1F"/>
          <w:sz w:val="19"/>
        </w:rPr>
        <w:t>w = 12 / (12 + 8) = 0.60</w:t>
      </w:r>
    </w:p>
    <w:p>
      <w:pPr>
        <w:keepLines/>
        <w:spacing w:after="80"/>
        <w:jc w:val="center"/>
      </w:pPr>
      <w:r>
        <w:rPr>
          <w:rFonts w:ascii="Calibri" w:hAnsi="Calibri"/>
          <w:b w:val="0"/>
          <w:i/>
          <w:color w:val="1F1F1F"/>
          <w:sz w:val="19"/>
        </w:rPr>
        <w:t>μ = 0.60×10 + 0.40×8 = 9.20</w:t>
      </w:r>
    </w:p>
    <w:p>
      <w:pPr>
        <w:keepLines/>
        <w:spacing w:after="80"/>
        <w:jc w:val="center"/>
      </w:pPr>
      <w:r>
        <w:rPr>
          <w:rFonts w:ascii="Calibri" w:hAnsi="Calibri"/>
          <w:b w:val="0"/>
          <w:i/>
          <w:color w:val="1F1F1F"/>
          <w:sz w:val="19"/>
        </w:rPr>
        <w:t>σ² = 0.60[4+(10−9.2)²] + 0.40[9+(8−9.2)²] = 6.96</w:t>
      </w:r>
    </w:p>
    <w:p>
      <w:pPr>
        <w:keepLines/>
        <w:spacing w:after="80"/>
        <w:jc w:val="center"/>
      </w:pPr>
      <w:r>
        <w:rPr>
          <w:rFonts w:ascii="Calibri" w:hAnsi="Calibri"/>
          <w:b w:val="0"/>
          <w:i/>
          <w:color w:val="1F1F1F"/>
          <w:sz w:val="19"/>
        </w:rPr>
        <w:t>σ = √6.96 = 2.638;  z = (15−9.2)/2.638 = 2.199</w:t>
      </w:r>
    </w:p>
    <w:p>
      <w:pPr>
        <w:keepLines/>
        <w:spacing w:after="80"/>
        <w:jc w:val="center"/>
      </w:pPr>
      <w:r>
        <w:rPr>
          <w:rFonts w:ascii="Calibri" w:hAnsi="Calibri"/>
          <w:b w:val="0"/>
          <w:i/>
          <w:color w:val="1F1F1F"/>
          <w:sz w:val="19"/>
        </w:rPr>
        <w:t>P = 50 + 50×(2.199/3) = 86.65</w:t>
      </w:r>
    </w:p>
    <w:p>
      <w:pPr>
        <w:spacing w:after="80" w:line="259" w:lineRule="auto"/>
      </w:pPr>
      <w:r>
        <w:rPr>
          <w:rFonts w:ascii="Calibri" w:hAnsi="Calibri"/>
          <w:b w:val="0"/>
          <w:i w:val="0"/>
          <w:color w:val="000000"/>
          <w:sz w:val="19"/>
        </w:rPr>
        <w:t>Because the factor is higher-is-better, Long=86.65 and Short=13.35. If it were lower-is-better, the orientations would reverse.</w:t>
      </w:r>
    </w:p>
    <w:p>
      <w:pPr>
        <w:pStyle w:val="Heading2"/>
      </w:pPr>
      <w:r>
        <w:t>26.2 Duplicate group</w:t>
      </w:r>
    </w:p>
    <w:p>
      <w:pPr>
        <w:spacing w:after="80" w:line="259" w:lineRule="auto"/>
      </w:pPr>
      <w:r>
        <w:rPr>
          <w:rFonts w:ascii="Calibri" w:hAnsi="Calibri"/>
          <w:b w:val="0"/>
          <w:i w:val="0"/>
          <w:color w:val="000000"/>
          <w:sz w:val="19"/>
        </w:rPr>
        <w:t>Suppose this signal has weight 2 and another available signal in the same group scores 70 with weight 1.</w:t>
      </w:r>
    </w:p>
    <w:p>
      <w:pPr>
        <w:keepLines/>
        <w:spacing w:after="80"/>
        <w:jc w:val="center"/>
      </w:pPr>
      <w:r>
        <w:rPr>
          <w:rFonts w:ascii="Calibri" w:hAnsi="Calibri"/>
          <w:b w:val="0"/>
          <w:i/>
          <w:color w:val="1F1F1F"/>
          <w:sz w:val="19"/>
        </w:rPr>
        <w:t>Group Long = (2×86.65 + 1×70) / 3 = 81.10</w:t>
      </w:r>
    </w:p>
    <w:p>
      <w:pPr>
        <w:spacing w:after="80" w:line="259" w:lineRule="auto"/>
      </w:pPr>
      <w:r>
        <w:rPr>
          <w:rFonts w:ascii="Calibri" w:hAnsi="Calibri"/>
          <w:b w:val="0"/>
          <w:i w:val="0"/>
          <w:color w:val="000000"/>
          <w:sz w:val="19"/>
        </w:rPr>
        <w:t>If the second factor were missing, the valid-weight denominator would be 2 and the group score would remain 86.65.</w:t>
      </w:r>
    </w:p>
    <w:p>
      <w:pPr>
        <w:pStyle w:val="Heading2"/>
      </w:pPr>
      <w:r>
        <w:t>26.3 Family</w:t>
      </w:r>
    </w:p>
    <w:p>
      <w:pPr>
        <w:spacing w:after="80" w:line="259" w:lineRule="auto"/>
      </w:pPr>
      <w:r>
        <w:rPr>
          <w:rFonts w:ascii="Calibri" w:hAnsi="Calibri"/>
          <w:b w:val="0"/>
          <w:i w:val="0"/>
          <w:color w:val="000000"/>
          <w:sz w:val="19"/>
        </w:rPr>
        <w:t>Suppose the family has three intended groups. Two are available: group A=81.10 with weight 1 and group B=60 with weight 2.</w:t>
      </w:r>
    </w:p>
    <w:p>
      <w:pPr>
        <w:keepLines/>
        <w:spacing w:after="80"/>
        <w:jc w:val="center"/>
      </w:pPr>
      <w:r>
        <w:rPr>
          <w:rFonts w:ascii="Calibri" w:hAnsi="Calibri"/>
          <w:b w:val="0"/>
          <w:i/>
          <w:color w:val="1F1F1F"/>
          <w:sz w:val="19"/>
        </w:rPr>
        <w:t>Family internal coverage = 2/3 = 66.7%, so it passes the 60% requirement</w:t>
      </w:r>
    </w:p>
    <w:p>
      <w:pPr>
        <w:keepLines/>
        <w:spacing w:after="80"/>
        <w:jc w:val="center"/>
      </w:pPr>
      <w:r>
        <w:rPr>
          <w:rFonts w:ascii="Calibri" w:hAnsi="Calibri"/>
          <w:b w:val="0"/>
          <w:i/>
          <w:color w:val="1F1F1F"/>
          <w:sz w:val="19"/>
        </w:rPr>
        <w:t>Family Long = (1×81.10 + 2×60) / 3 = 67.03</w:t>
      </w:r>
    </w:p>
    <w:p>
      <w:pPr>
        <w:pStyle w:val="Heading2"/>
      </w:pPr>
      <w:r>
        <w:t>26.4 Expanded model</w:t>
      </w:r>
    </w:p>
    <w:p>
      <w:pPr>
        <w:spacing w:after="80" w:line="259" w:lineRule="auto"/>
      </w:pPr>
      <w:r>
        <w:rPr>
          <w:rFonts w:ascii="Calibri" w:hAnsi="Calibri"/>
          <w:b w:val="0"/>
          <w:i w:val="0"/>
          <w:color w:val="000000"/>
          <w:sz w:val="19"/>
        </w:rPr>
        <w:t>Suppose three admitted, equal-weight family long scores are 67.03, 60 and 75.</w:t>
      </w:r>
    </w:p>
    <w:p>
      <w:pPr>
        <w:keepLines/>
        <w:spacing w:after="80"/>
        <w:jc w:val="center"/>
      </w:pPr>
      <w:r>
        <w:rPr>
          <w:rFonts w:ascii="Calibri" w:hAnsi="Calibri"/>
          <w:b w:val="0"/>
          <w:i/>
          <w:color w:val="1F1F1F"/>
          <w:sz w:val="19"/>
        </w:rPr>
        <w:t>Expanded Long = (67.03+60+75)/3 = 67.34</w:t>
      </w:r>
    </w:p>
    <w:p>
      <w:pPr>
        <w:keepLines/>
        <w:spacing w:after="80"/>
        <w:jc w:val="center"/>
      </w:pPr>
      <w:r>
        <w:rPr>
          <w:rFonts w:ascii="Calibri" w:hAnsi="Calibri"/>
          <w:b w:val="0"/>
          <w:i/>
          <w:color w:val="1F1F1F"/>
          <w:sz w:val="19"/>
        </w:rPr>
        <w:t>Expanded Short = (32.97+40+25)/3 = 32.66</w:t>
      </w:r>
    </w:p>
    <w:p>
      <w:pPr>
        <w:keepLines/>
        <w:spacing w:after="80"/>
        <w:jc w:val="center"/>
      </w:pPr>
      <w:r>
        <w:rPr>
          <w:rFonts w:ascii="Calibri" w:hAnsi="Calibri"/>
          <w:b w:val="0"/>
          <w:i/>
          <w:color w:val="1F1F1F"/>
          <w:sz w:val="19"/>
        </w:rPr>
        <w:t>Expanded Net = 67.34−32.66 = 34.68</w:t>
      </w:r>
    </w:p>
    <w:p>
      <w:pPr>
        <w:pStyle w:val="Heading2"/>
      </w:pPr>
      <w:r>
        <w:t>26.5 Confidence</w:t>
      </w:r>
    </w:p>
    <w:p>
      <w:pPr>
        <w:spacing w:after="80" w:line="259" w:lineRule="auto"/>
      </w:pPr>
      <w:r>
        <w:rPr>
          <w:rFonts w:ascii="Calibri" w:hAnsi="Calibri"/>
          <w:b w:val="0"/>
          <w:i w:val="0"/>
          <w:color w:val="000000"/>
          <w:sz w:val="19"/>
        </w:rPr>
        <w:t>If factor coverage is 95% and top-level family coverage is 90%:</w:t>
      </w:r>
    </w:p>
    <w:p>
      <w:pPr>
        <w:keepLines/>
        <w:spacing w:after="80"/>
        <w:jc w:val="center"/>
      </w:pPr>
      <w:r>
        <w:rPr>
          <w:rFonts w:ascii="Calibri" w:hAnsi="Calibri"/>
          <w:b w:val="0"/>
          <w:i/>
          <w:color w:val="1F1F1F"/>
          <w:sz w:val="19"/>
        </w:rPr>
        <w:t>Confidence = 100×(0.425×0.95 + 0.25×0.90)/(0.425+0.25) = 93.15%</w:t>
      </w:r>
    </w:p>
    <w:p>
      <w:pPr>
        <w:spacing w:after="80" w:line="259" w:lineRule="auto"/>
      </w:pPr>
      <w:r>
        <w:rPr>
          <w:rFonts w:ascii="Calibri" w:hAnsi="Calibri"/>
          <w:b w:val="0"/>
          <w:i w:val="0"/>
          <w:color w:val="000000"/>
          <w:sz w:val="19"/>
        </w:rPr>
        <w:t>A high quant rank does not by itself authorize implementation. Sector-aware balance-sheet, tradability and—when short—borrow validation are reported separately.</w:t>
      </w:r>
    </w:p>
    <w:p>
      <w:pPr>
        <w:pStyle w:val="Heading1"/>
      </w:pPr>
      <w:r>
        <w:t>27. Automated test coverage and the guarantees it provides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shd w:fill="D9EAF7"/>
          </w:tcPr>
          <w:p>
            <w:r>
              <w:rPr>
                <w:rFonts w:ascii="Calibri" w:hAnsi="Calibri"/>
                <w:b/>
                <w:i w:val="0"/>
                <w:color w:val="000000"/>
                <w:sz w:val="16"/>
              </w:rPr>
              <w:t>Test area</w:t>
            </w:r>
          </w:p>
        </w:tc>
        <w:tc>
          <w:tcPr>
            <w:tcW w:type="dxa" w:w="4997"/>
            <w:shd w:fill="D9EAF7"/>
          </w:tcPr>
          <w:p>
            <w:r>
              <w:rPr>
                <w:rFonts w:ascii="Calibri" w:hAnsi="Calibri"/>
                <w:b/>
                <w:i w:val="0"/>
                <w:color w:val="000000"/>
                <w:sz w:val="16"/>
              </w:rPr>
              <w:t>Behavior protected</w:t>
            </w:r>
          </w:p>
        </w:tc>
      </w:tr>
      <w:tr>
        <w:trPr>
          <w:cantSplit/>
        </w:trPr>
        <w:tc>
          <w:tcPr>
            <w:tcW w:type="dxa" w:w="4997"/>
          </w:tcPr>
          <w:p>
            <w:pPr>
              <w:spacing w:after="0"/>
            </w:pPr>
            <w:r>
              <w:rPr>
                <w:rFonts w:ascii="Calibri" w:hAnsi="Calibri"/>
                <w:b w:val="0"/>
                <w:i w:val="0"/>
                <w:color w:val="000000"/>
                <w:sz w:val="15"/>
              </w:rPr>
              <w:t>Schema contract</w:t>
            </w:r>
          </w:p>
        </w:tc>
        <w:tc>
          <w:tcPr>
            <w:tcW w:type="dxa" w:w="4997"/>
          </w:tcPr>
          <w:p>
            <w:pPr>
              <w:spacing w:after="0"/>
            </w:pPr>
            <w:r>
              <w:rPr>
                <w:rFonts w:ascii="Calibri" w:hAnsi="Calibri"/>
                <w:b w:val="0"/>
                <w:i w:val="0"/>
                <w:color w:val="000000"/>
                <w:sz w:val="15"/>
              </w:rPr>
              <w:t>Required headers are recognised and incomplete schemas fail.</w:t>
            </w:r>
          </w:p>
        </w:tc>
      </w:tr>
      <w:tr>
        <w:trPr>
          <w:cantSplit/>
        </w:trPr>
        <w:tc>
          <w:tcPr>
            <w:tcW w:type="dxa" w:w="4997"/>
          </w:tcPr>
          <w:p>
            <w:pPr>
              <w:spacing w:after="0"/>
            </w:pPr>
            <w:r>
              <w:rPr>
                <w:rFonts w:ascii="Calibri" w:hAnsi="Calibri"/>
                <w:b w:val="0"/>
                <w:i w:val="0"/>
                <w:color w:val="000000"/>
                <w:sz w:val="15"/>
              </w:rPr>
              <w:t>Units and transformations</w:t>
            </w:r>
          </w:p>
        </w:tc>
        <w:tc>
          <w:tcPr>
            <w:tcW w:type="dxa" w:w="4997"/>
          </w:tcPr>
          <w:p>
            <w:pPr>
              <w:spacing w:after="0"/>
            </w:pPr>
            <w:r>
              <w:rPr>
                <w:rFonts w:ascii="Calibri" w:hAnsi="Calibri"/>
                <w:b w:val="0"/>
                <w:i w:val="0"/>
                <w:color w:val="000000"/>
                <w:sz w:val="15"/>
              </w:rPr>
              <w:t>Percentage-point conversion, logs, signed logs, safe ratios, inverses and EG2 sign rules behave as specified.</w:t>
            </w:r>
          </w:p>
        </w:tc>
      </w:tr>
      <w:tr>
        <w:trPr>
          <w:cantSplit/>
        </w:trPr>
        <w:tc>
          <w:tcPr>
            <w:tcW w:type="dxa" w:w="4997"/>
          </w:tcPr>
          <w:p>
            <w:pPr>
              <w:spacing w:after="0"/>
            </w:pPr>
            <w:r>
              <w:rPr>
                <w:rFonts w:ascii="Calibri" w:hAnsi="Calibri"/>
                <w:b w:val="0"/>
                <w:i w:val="0"/>
                <w:color w:val="000000"/>
                <w:sz w:val="15"/>
              </w:rPr>
              <w:t>Peer engine</w:t>
            </w:r>
          </w:p>
        </w:tc>
        <w:tc>
          <w:tcPr>
            <w:tcW w:type="dxa" w:w="4997"/>
          </w:tcPr>
          <w:p>
            <w:pPr>
              <w:spacing w:after="0"/>
            </w:pPr>
            <w:r>
              <w:rPr>
                <w:rFonts w:ascii="Calibri" w:hAnsi="Calibri"/>
                <w:b w:val="0"/>
                <w:i w:val="0"/>
                <w:color w:val="000000"/>
                <w:sz w:val="15"/>
              </w:rPr>
              <w:t>Statistics are calculated, industry/sector shrinkage changes continuously and no whole-US fallback appears.</w:t>
            </w:r>
          </w:p>
        </w:tc>
      </w:tr>
      <w:tr>
        <w:trPr>
          <w:cantSplit/>
        </w:trPr>
        <w:tc>
          <w:tcPr>
            <w:tcW w:type="dxa" w:w="4997"/>
          </w:tcPr>
          <w:p>
            <w:pPr>
              <w:spacing w:after="0"/>
            </w:pPr>
            <w:r>
              <w:rPr>
                <w:rFonts w:ascii="Calibri" w:hAnsi="Calibri"/>
                <w:b w:val="0"/>
                <w:i w:val="0"/>
                <w:color w:val="000000"/>
                <w:sz w:val="15"/>
              </w:rPr>
              <w:t>Registry governance</w:t>
            </w:r>
          </w:p>
        </w:tc>
        <w:tc>
          <w:tcPr>
            <w:tcW w:type="dxa" w:w="4997"/>
          </w:tcPr>
          <w:p>
            <w:pPr>
              <w:spacing w:after="0"/>
            </w:pPr>
            <w:r>
              <w:rPr>
                <w:rFonts w:ascii="Calibri" w:hAnsi="Calibri"/>
                <w:b w:val="0"/>
                <w:i w:val="0"/>
                <w:color w:val="000000"/>
                <w:sz w:val="15"/>
              </w:rPr>
              <w:t>Derived features have declared direction/group metadata; confidence-only and unavailable features cannot leak into scoring.</w:t>
            </w:r>
          </w:p>
        </w:tc>
      </w:tr>
      <w:tr>
        <w:trPr>
          <w:cantSplit/>
        </w:trPr>
        <w:tc>
          <w:tcPr>
            <w:tcW w:type="dxa" w:w="4997"/>
          </w:tcPr>
          <w:p>
            <w:pPr>
              <w:spacing w:after="0"/>
            </w:pPr>
            <w:r>
              <w:rPr>
                <w:rFonts w:ascii="Calibri" w:hAnsi="Calibri"/>
                <w:b w:val="0"/>
                <w:i w:val="0"/>
                <w:color w:val="000000"/>
                <w:sz w:val="15"/>
              </w:rPr>
              <w:t>Universe</w:t>
            </w:r>
          </w:p>
        </w:tc>
        <w:tc>
          <w:tcPr>
            <w:tcW w:type="dxa" w:w="4997"/>
          </w:tcPr>
          <w:p>
            <w:pPr>
              <w:spacing w:after="0"/>
            </w:pPr>
            <w:r>
              <w:rPr>
                <w:rFonts w:ascii="Calibri" w:hAnsi="Calibri"/>
                <w:b w:val="0"/>
                <w:i w:val="0"/>
                <w:color w:val="000000"/>
                <w:sz w:val="15"/>
              </w:rPr>
              <w:t>ETFs/CEFs, blank peer keys and duplicate tickers are handled correctly.</w:t>
            </w:r>
          </w:p>
        </w:tc>
      </w:tr>
      <w:tr>
        <w:trPr>
          <w:cantSplit/>
        </w:trPr>
        <w:tc>
          <w:tcPr>
            <w:tcW w:type="dxa" w:w="4997"/>
          </w:tcPr>
          <w:p>
            <w:pPr>
              <w:spacing w:after="0"/>
            </w:pPr>
            <w:r>
              <w:rPr>
                <w:rFonts w:ascii="Calibri" w:hAnsi="Calibri"/>
                <w:b w:val="0"/>
                <w:i w:val="0"/>
                <w:color w:val="000000"/>
                <w:sz w:val="15"/>
              </w:rPr>
              <w:t>Destination safety</w:t>
            </w:r>
          </w:p>
        </w:tc>
        <w:tc>
          <w:tcPr>
            <w:tcW w:type="dxa" w:w="4997"/>
          </w:tcPr>
          <w:p>
            <w:pPr>
              <w:spacing w:after="0"/>
            </w:pPr>
            <w:r>
              <w:rPr>
                <w:rFonts w:ascii="Calibri" w:hAnsi="Calibri"/>
                <w:b w:val="0"/>
                <w:i w:val="0"/>
                <w:color w:val="000000"/>
                <w:sz w:val="15"/>
              </w:rPr>
              <w:t>Exact tab matching and source/destination protections work.</w:t>
            </w:r>
          </w:p>
        </w:tc>
      </w:tr>
      <w:tr>
        <w:trPr>
          <w:cantSplit/>
        </w:trPr>
        <w:tc>
          <w:tcPr>
            <w:tcW w:type="dxa" w:w="4997"/>
          </w:tcPr>
          <w:p>
            <w:pPr>
              <w:spacing w:after="0"/>
            </w:pPr>
            <w:r>
              <w:rPr>
                <w:rFonts w:ascii="Calibri" w:hAnsi="Calibri"/>
                <w:b w:val="0"/>
                <w:i w:val="0"/>
                <w:color w:val="000000"/>
                <w:sz w:val="15"/>
              </w:rPr>
              <w:t>Writer</w:t>
            </w:r>
          </w:p>
        </w:tc>
        <w:tc>
          <w:tcPr>
            <w:tcW w:type="dxa" w:w="4997"/>
          </w:tcPr>
          <w:p>
            <w:pPr>
              <w:spacing w:after="0"/>
            </w:pPr>
            <w:r>
              <w:rPr>
                <w:rFonts w:ascii="Calibri" w:hAnsi="Calibri"/>
                <w:b w:val="0"/>
                <w:i w:val="0"/>
                <w:color w:val="000000"/>
                <w:sz w:val="15"/>
              </w:rPr>
              <w:t>Values are serialisable, retry headers are parsed, API writes are batched, filenames are collision-safe and section formatting follows variable row counts.</w:t>
            </w:r>
          </w:p>
        </w:tc>
      </w:tr>
      <w:tr>
        <w:trPr>
          <w:cantSplit/>
        </w:trPr>
        <w:tc>
          <w:tcPr>
            <w:tcW w:type="dxa" w:w="4997"/>
          </w:tcPr>
          <w:p>
            <w:pPr>
              <w:spacing w:after="0"/>
            </w:pPr>
            <w:r>
              <w:rPr>
                <w:rFonts w:ascii="Calibri" w:hAnsi="Calibri"/>
                <w:b w:val="0"/>
                <w:i w:val="0"/>
                <w:color w:val="000000"/>
                <w:sz w:val="15"/>
              </w:rPr>
              <w:t>Selection</w:t>
            </w:r>
          </w:p>
        </w:tc>
        <w:tc>
          <w:tcPr>
            <w:tcW w:type="dxa" w:w="4997"/>
          </w:tcPr>
          <w:p>
            <w:pPr>
              <w:spacing w:after="0"/>
            </w:pPr>
            <w:r>
              <w:rPr>
                <w:rFonts w:ascii="Calibri" w:hAnsi="Calibri"/>
                <w:b w:val="0"/>
                <w:i w:val="0"/>
                <w:color w:val="000000"/>
                <w:sz w:val="15"/>
              </w:rPr>
              <w:t>Thresholds prevent overlap, tie-breaking is deterministic, per-industry limits and global caps are enforced.</w:t>
            </w:r>
          </w:p>
        </w:tc>
      </w:tr>
      <w:tr>
        <w:trPr>
          <w:cantSplit/>
        </w:trPr>
        <w:tc>
          <w:tcPr>
            <w:tcW w:type="dxa" w:w="4997"/>
          </w:tcPr>
          <w:p>
            <w:pPr>
              <w:spacing w:after="0"/>
            </w:pPr>
            <w:r>
              <w:rPr>
                <w:rFonts w:ascii="Calibri" w:hAnsi="Calibri"/>
                <w:b w:val="0"/>
                <w:i w:val="0"/>
                <w:color w:val="000000"/>
                <w:sz w:val="15"/>
              </w:rPr>
              <w:t>Risk gates</w:t>
            </w:r>
          </w:p>
        </w:tc>
        <w:tc>
          <w:tcPr>
            <w:tcW w:type="dxa" w:w="4997"/>
          </w:tcPr>
          <w:p>
            <w:pPr>
              <w:spacing w:after="0"/>
            </w:pPr>
            <w:r>
              <w:rPr>
                <w:rFonts w:ascii="Calibri" w:hAnsi="Calibri"/>
                <w:b w:val="0"/>
                <w:i w:val="0"/>
                <w:color w:val="000000"/>
                <w:sz w:val="15"/>
              </w:rPr>
              <w:t>Candidate confidence, debt/equity and optional book divergence are enforced.</w:t>
            </w:r>
          </w:p>
        </w:tc>
      </w:tr>
      <w:tr>
        <w:trPr>
          <w:cantSplit/>
        </w:trPr>
        <w:tc>
          <w:tcPr>
            <w:tcW w:type="dxa" w:w="4997"/>
          </w:tcPr>
          <w:p>
            <w:pPr>
              <w:spacing w:after="0"/>
            </w:pPr>
            <w:r>
              <w:rPr>
                <w:rFonts w:ascii="Calibri" w:hAnsi="Calibri"/>
                <w:b w:val="0"/>
                <w:i w:val="0"/>
                <w:color w:val="000000"/>
                <w:sz w:val="15"/>
              </w:rPr>
              <w:t>Reliability</w:t>
            </w:r>
          </w:p>
        </w:tc>
        <w:tc>
          <w:tcPr>
            <w:tcW w:type="dxa" w:w="4997"/>
          </w:tcPr>
          <w:p>
            <w:pPr>
              <w:spacing w:after="0"/>
            </w:pPr>
            <w:r>
              <w:rPr>
                <w:rFonts w:ascii="Calibri" w:hAnsi="Calibri"/>
                <w:b w:val="0"/>
                <w:i w:val="0"/>
                <w:color w:val="000000"/>
                <w:sz w:val="15"/>
              </w:rPr>
              <w:t>Low confidence shrinks the raw quant composite toward neutral.</w:t>
            </w:r>
          </w:p>
        </w:tc>
      </w:tr>
      <w:tr>
        <w:trPr>
          <w:cantSplit/>
        </w:trPr>
        <w:tc>
          <w:tcPr>
            <w:tcW w:type="dxa" w:w="4997"/>
          </w:tcPr>
          <w:p>
            <w:pPr>
              <w:spacing w:after="0"/>
            </w:pPr>
            <w:r>
              <w:rPr>
                <w:rFonts w:ascii="Calibri" w:hAnsi="Calibri"/>
                <w:b w:val="0"/>
                <w:i w:val="0"/>
                <w:color w:val="000000"/>
                <w:sz w:val="15"/>
              </w:rPr>
              <w:t>Liquidity</w:t>
            </w:r>
          </w:p>
        </w:tc>
        <w:tc>
          <w:tcPr>
            <w:tcW w:type="dxa" w:w="4997"/>
          </w:tcPr>
          <w:p>
            <w:pPr>
              <w:spacing w:after="0"/>
            </w:pPr>
            <w:r>
              <w:rPr>
                <w:rFonts w:ascii="Calibri" w:hAnsi="Calibri"/>
                <w:b w:val="0"/>
                <w:i w:val="0"/>
                <w:color w:val="000000"/>
                <w:sz w:val="15"/>
              </w:rPr>
              <w:t>Policy is asymmetric and financial sectors are excluded.</w:t>
            </w:r>
          </w:p>
        </w:tc>
      </w:tr>
      <w:tr>
        <w:trPr>
          <w:cantSplit/>
        </w:trPr>
        <w:tc>
          <w:tcPr>
            <w:tcW w:type="dxa" w:w="4997"/>
          </w:tcPr>
          <w:p>
            <w:pPr>
              <w:spacing w:after="0"/>
            </w:pPr>
            <w:r>
              <w:rPr>
                <w:rFonts w:ascii="Calibri" w:hAnsi="Calibri"/>
                <w:b w:val="0"/>
                <w:i w:val="0"/>
                <w:color w:val="000000"/>
                <w:sz w:val="15"/>
              </w:rPr>
              <w:t>Summaries</w:t>
            </w:r>
          </w:p>
        </w:tc>
        <w:tc>
          <w:tcPr>
            <w:tcW w:type="dxa" w:w="4997"/>
          </w:tcPr>
          <w:p>
            <w:pPr>
              <w:spacing w:after="0"/>
            </w:pPr>
            <w:r>
              <w:rPr>
                <w:rFonts w:ascii="Calibri" w:hAnsi="Calibri"/>
                <w:b w:val="0"/>
                <w:i w:val="0"/>
                <w:color w:val="000000"/>
                <w:sz w:val="15"/>
              </w:rPr>
              <w:t>Three strategy summaries and industry diagnostics are present.</w:t>
            </w:r>
          </w:p>
        </w:tc>
      </w:tr>
      <w:tr>
        <w:trPr>
          <w:cantSplit/>
        </w:trPr>
        <w:tc>
          <w:tcPr>
            <w:tcW w:type="dxa" w:w="4997"/>
          </w:tcPr>
          <w:p>
            <w:pPr>
              <w:spacing w:after="0"/>
            </w:pPr>
            <w:r>
              <w:rPr>
                <w:rFonts w:ascii="Calibri" w:hAnsi="Calibri"/>
                <w:b w:val="0"/>
                <w:i w:val="0"/>
                <w:color w:val="000000"/>
                <w:sz w:val="15"/>
              </w:rPr>
              <w:t>Controls</w:t>
            </w:r>
          </w:p>
        </w:tc>
        <w:tc>
          <w:tcPr>
            <w:tcW w:type="dxa" w:w="4997"/>
          </w:tcPr>
          <w:p>
            <w:pPr>
              <w:spacing w:after="0"/>
            </w:pPr>
            <w:r>
              <w:rPr>
                <w:rFonts w:ascii="Calibri" w:hAnsi="Calibri"/>
                <w:b w:val="0"/>
                <w:i w:val="0"/>
                <w:color w:val="000000"/>
                <w:sz w:val="15"/>
              </w:rPr>
              <w:t>Every model control is represented, applied, validated, transactional and reset when missing.</w:t>
            </w:r>
          </w:p>
        </w:tc>
      </w:tr>
    </w:tbl>
    <w:p>
      <w:pPr>
        <w:spacing w:after="20"/>
      </w:pPr>
    </w:p>
    <w:p>
      <w:pPr>
        <w:spacing w:after="80" w:line="259" w:lineRule="auto"/>
      </w:pPr>
      <w:r>
        <w:rPr>
          <w:rFonts w:ascii="Calibri" w:hAnsi="Calibri"/>
          <w:b w:val="0"/>
          <w:i w:val="0"/>
          <w:color w:val="000000"/>
          <w:sz w:val="19"/>
        </w:rPr>
        <w:t>Tests demonstrate implementation consistency with the written rules. They do not demonstrate investment alpha. Backtesting, out-of-sample validation, turnover analysis and transaction-cost modelling remain separate research tasks.</w:t>
      </w:r>
    </w:p>
    <w:p>
      <w:pPr>
        <w:pStyle w:val="Heading1"/>
      </w:pPr>
      <w:r>
        <w:t>28. Explicitly unavailable or deliberately excluded calculations</w:t>
      </w:r>
    </w:p>
    <w:p>
      <w:pPr>
        <w:pStyle w:val="ListBullet"/>
        <w:spacing w:after="40" w:line="250" w:lineRule="auto"/>
      </w:pPr>
      <w:r>
        <w:rPr>
          <w:rFonts w:ascii="Calibri" w:hAnsi="Calibri"/>
          <w:b w:val="0"/>
          <w:i w:val="0"/>
          <w:color w:val="000000"/>
          <w:sz w:val="19"/>
        </w:rPr>
        <w:t>enterprise_value: No complete enterprise-value or cash balance field.</w:t>
      </w:r>
    </w:p>
    <w:p>
      <w:pPr>
        <w:pStyle w:val="ListBullet"/>
        <w:spacing w:after="40" w:line="250" w:lineRule="auto"/>
      </w:pPr>
      <w:r>
        <w:rPr>
          <w:rFonts w:ascii="Calibri" w:hAnsi="Calibri"/>
          <w:b w:val="0"/>
          <w:i w:val="0"/>
          <w:color w:val="000000"/>
          <w:sz w:val="19"/>
        </w:rPr>
        <w:t>ev_ebit: Enterprise value unavailable.</w:t>
      </w:r>
    </w:p>
    <w:p>
      <w:pPr>
        <w:pStyle w:val="ListBullet"/>
        <w:spacing w:after="40" w:line="250" w:lineRule="auto"/>
      </w:pPr>
      <w:r>
        <w:rPr>
          <w:rFonts w:ascii="Calibri" w:hAnsi="Calibri"/>
          <w:b w:val="0"/>
          <w:i w:val="0"/>
          <w:color w:val="000000"/>
          <w:sz w:val="19"/>
        </w:rPr>
        <w:t>ev_ebitda: Enterprise value unavailable.</w:t>
      </w:r>
    </w:p>
    <w:p>
      <w:pPr>
        <w:pStyle w:val="ListBullet"/>
        <w:spacing w:after="40" w:line="250" w:lineRule="auto"/>
      </w:pPr>
      <w:r>
        <w:rPr>
          <w:rFonts w:ascii="Calibri" w:hAnsi="Calibri"/>
          <w:b w:val="0"/>
          <w:i w:val="0"/>
          <w:color w:val="000000"/>
          <w:sz w:val="19"/>
        </w:rPr>
        <w:t>net_debt: No cash-and-equivalents balance.</w:t>
      </w:r>
    </w:p>
    <w:p>
      <w:pPr>
        <w:pStyle w:val="ListBullet"/>
        <w:spacing w:after="40" w:line="250" w:lineRule="auto"/>
      </w:pPr>
      <w:r>
        <w:rPr>
          <w:rFonts w:ascii="Calibri" w:hAnsi="Calibri"/>
          <w:b w:val="0"/>
          <w:i w:val="0"/>
          <w:color w:val="000000"/>
          <w:sz w:val="19"/>
        </w:rPr>
        <w:t>free_cash_flow: No capital-expenditure field; Cash Flow definition is ambiguous.</w:t>
      </w:r>
    </w:p>
    <w:p>
      <w:pPr>
        <w:pStyle w:val="ListBullet"/>
        <w:spacing w:after="40" w:line="250" w:lineRule="auto"/>
      </w:pPr>
      <w:r>
        <w:rPr>
          <w:rFonts w:ascii="Calibri" w:hAnsi="Calibri"/>
          <w:b w:val="0"/>
          <w:i w:val="0"/>
          <w:color w:val="000000"/>
          <w:sz w:val="19"/>
        </w:rPr>
        <w:t>interest_coverage: No interest-expense field.</w:t>
      </w:r>
    </w:p>
    <w:p>
      <w:pPr>
        <w:pStyle w:val="ListBullet"/>
        <w:spacing w:after="40" w:line="250" w:lineRule="auto"/>
      </w:pPr>
      <w:r>
        <w:rPr>
          <w:rFonts w:ascii="Calibri" w:hAnsi="Calibri"/>
          <w:b w:val="0"/>
          <w:i w:val="0"/>
          <w:color w:val="000000"/>
          <w:sz w:val="19"/>
        </w:rPr>
        <w:t>roic_nopat: Insufficient tax and invested-capital detail.</w:t>
      </w:r>
    </w:p>
    <w:p>
      <w:pPr>
        <w:pStyle w:val="ListBullet"/>
        <w:spacing w:after="40" w:line="250" w:lineRule="auto"/>
      </w:pPr>
      <w:r>
        <w:rPr>
          <w:rFonts w:ascii="Calibri" w:hAnsi="Calibri"/>
          <w:b w:val="0"/>
          <w:i w:val="0"/>
          <w:color w:val="000000"/>
          <w:sz w:val="19"/>
        </w:rPr>
        <w:t>altman_z: Missing total assets, retained earnings, and other components.</w:t>
      </w:r>
    </w:p>
    <w:p>
      <w:pPr>
        <w:pStyle w:val="ListBullet"/>
        <w:spacing w:after="40" w:line="250" w:lineRule="auto"/>
      </w:pPr>
      <w:r>
        <w:rPr>
          <w:rFonts w:ascii="Calibri" w:hAnsi="Calibri"/>
          <w:b w:val="0"/>
          <w:i w:val="0"/>
          <w:color w:val="000000"/>
          <w:sz w:val="19"/>
        </w:rPr>
        <w:t>piotroski_f: Insufficient multi-period balance-sheet and cash-flow inputs.</w:t>
      </w:r>
    </w:p>
    <w:p>
      <w:pPr>
        <w:pStyle w:val="ListBullet"/>
        <w:spacing w:after="40" w:line="250" w:lineRule="auto"/>
      </w:pPr>
      <w:r>
        <w:rPr>
          <w:rFonts w:ascii="Calibri" w:hAnsi="Calibri"/>
          <w:b w:val="0"/>
          <w:i w:val="0"/>
          <w:color w:val="000000"/>
          <w:sz w:val="19"/>
        </w:rPr>
        <w:t>dupont: No total-assets field and insufficient component detail.</w:t>
      </w:r>
    </w:p>
    <w:p>
      <w:pPr>
        <w:pStyle w:val="ListBullet"/>
        <w:spacing w:after="40" w:line="250" w:lineRule="auto"/>
      </w:pPr>
      <w:r>
        <w:rPr>
          <w:rFonts w:ascii="Calibri" w:hAnsi="Calibri"/>
          <w:b w:val="0"/>
          <w:i w:val="0"/>
          <w:color w:val="000000"/>
          <w:sz w:val="19"/>
        </w:rPr>
        <w:t>accruals: No defined operating cash flow and average total assets.</w:t>
      </w:r>
    </w:p>
    <w:p>
      <w:pPr>
        <w:pStyle w:val="ListBullet"/>
        <w:spacing w:after="40" w:line="250" w:lineRule="auto"/>
      </w:pPr>
      <w:r>
        <w:rPr>
          <w:rFonts w:ascii="Calibri" w:hAnsi="Calibri"/>
          <w:b w:val="0"/>
          <w:i w:val="0"/>
          <w:color w:val="000000"/>
          <w:sz w:val="19"/>
        </w:rPr>
        <w:t>time_series_indicators: No price history; volatility, Sharpe, RSI and moving averages unavailable.</w:t>
      </w:r>
    </w:p>
    <w:p>
      <w:pPr>
        <w:spacing w:after="80" w:line="259" w:lineRule="auto"/>
      </w:pPr>
      <w:r>
        <w:rPr>
          <w:rFonts w:ascii="Calibri" w:hAnsi="Calibri"/>
          <w:b w:val="0"/>
          <w:i w:val="0"/>
          <w:color w:val="000000"/>
          <w:sz w:val="19"/>
        </w:rPr>
        <w:t>The program also does not calculate volatility, Sharpe ratio, RSI, moving averages, implied volatility, options value, short interest, borrow cost, news sentiment, insider signals, position size, portfolio risk, transaction costs or expected returns because the required time series, market microstructure or external data is not present in the supplied architecture.</w:t>
      </w:r>
    </w:p>
    <w:p>
      <w:pPr>
        <w:pStyle w:val="Heading1"/>
      </w:pPr>
      <w:r>
        <w:t>29. Interpretation guide</w:t>
      </w:r>
    </w:p>
    <w:p>
      <w:pPr>
        <w:pStyle w:val="ListBullet"/>
        <w:spacing w:after="40" w:line="250" w:lineRule="auto"/>
      </w:pPr>
      <w:r>
        <w:rPr>
          <w:rFonts w:ascii="Calibri" w:hAnsi="Calibri"/>
          <w:b w:val="0"/>
          <w:i w:val="0"/>
          <w:color w:val="000000"/>
          <w:sz w:val="19"/>
        </w:rPr>
        <w:t>Expanded Long above 50 means the weighted available families lean long; Expanded Short above 50 means they lean short.</w:t>
      </w:r>
    </w:p>
    <w:p>
      <w:pPr>
        <w:pStyle w:val="ListBullet"/>
        <w:spacing w:after="40" w:line="250" w:lineRule="auto"/>
      </w:pPr>
      <w:r>
        <w:rPr>
          <w:rFonts w:ascii="Calibri" w:hAnsi="Calibri"/>
          <w:b w:val="0"/>
          <w:i w:val="0"/>
          <w:color w:val="000000"/>
          <w:sz w:val="19"/>
        </w:rPr>
        <w:t>A high score with low confidence is not eligible under the current candidate gate.</w:t>
      </w:r>
    </w:p>
    <w:p>
      <w:pPr>
        <w:pStyle w:val="ListBullet"/>
        <w:spacing w:after="40" w:line="250" w:lineRule="auto"/>
      </w:pPr>
      <w:r>
        <w:rPr>
          <w:rFonts w:ascii="Calibri" w:hAnsi="Calibri"/>
          <w:b w:val="0"/>
          <w:i w:val="0"/>
          <w:color w:val="000000"/>
          <w:sz w:val="19"/>
        </w:rPr>
        <w:t>A high-confidence score near 50 means broad data but weak direction.</w:t>
      </w:r>
    </w:p>
    <w:p>
      <w:pPr>
        <w:pStyle w:val="ListBullet"/>
        <w:spacing w:after="40" w:line="250" w:lineRule="auto"/>
      </w:pPr>
      <w:r>
        <w:rPr>
          <w:rFonts w:ascii="Calibri" w:hAnsi="Calibri"/>
          <w:b w:val="0"/>
          <w:i w:val="0"/>
          <w:color w:val="000000"/>
          <w:sz w:val="19"/>
        </w:rPr>
        <w:t>A family score shows one theme; its contribution shows that theme after its family weight, before final renormalisation.</w:t>
      </w:r>
    </w:p>
    <w:p>
      <w:pPr>
        <w:pStyle w:val="ListBullet"/>
        <w:spacing w:after="40" w:line="250" w:lineRule="auto"/>
      </w:pPr>
      <w:r>
        <w:rPr>
          <w:rFonts w:ascii="Calibri" w:hAnsi="Calibri"/>
          <w:b w:val="0"/>
          <w:i w:val="0"/>
          <w:color w:val="000000"/>
          <w:sz w:val="19"/>
        </w:rPr>
        <w:t>The z-score expresses statistical distance from blended peers; the peer score expresses the same position on 0–100; orientation expresses economic meaning.</w:t>
      </w:r>
    </w:p>
    <w:p>
      <w:pPr>
        <w:pStyle w:val="ListBullet"/>
        <w:spacing w:after="40" w:line="250" w:lineRule="auto"/>
      </w:pPr>
      <w:r>
        <w:rPr>
          <w:rFonts w:ascii="Calibri" w:hAnsi="Calibri"/>
          <w:b w:val="0"/>
          <w:i w:val="0"/>
          <w:color w:val="000000"/>
          <w:sz w:val="19"/>
        </w:rPr>
        <w:t>The selected universe is intentionally smaller than the ranked universe. Counts are maxima, not quotas.</w:t>
      </w:r>
    </w:p>
    <w:p>
      <w:pPr>
        <w:pStyle w:val="ListBullet"/>
        <w:spacing w:after="40" w:line="250" w:lineRule="auto"/>
      </w:pPr>
      <w:r>
        <w:rPr>
          <w:rFonts w:ascii="Calibri" w:hAnsi="Calibri"/>
          <w:b w:val="0"/>
          <w:i w:val="0"/>
          <w:color w:val="000000"/>
          <w:sz w:val="19"/>
        </w:rPr>
        <w:t>Standard-company leverage limits do not override the separate financial and REIT/real-estate gate logic. Book/price equality is mandatory only when the divergence control is enabled and set to 0.</w:t>
      </w:r>
    </w:p>
    <w:p>
      <w:pPr>
        <w:pStyle w:val="Heading1"/>
      </w:pPr>
      <w:r>
        <w:t>30. Limitations and model-risk statement</w:t>
      </w:r>
    </w:p>
    <w:p>
      <w:pPr>
        <w:spacing w:after="80" w:line="259" w:lineRule="auto"/>
      </w:pPr>
      <w:r>
        <w:rPr>
          <w:rFonts w:ascii="Calibri" w:hAnsi="Calibri"/>
          <w:b w:val="0"/>
          <w:i w:val="0"/>
          <w:color w:val="000000"/>
          <w:sz w:val="19"/>
        </w:rPr>
        <w:t>The system is point-in-time and depends entirely on the quality, definitions and timing of supplied vendor data. It has no global source-wide as-of timestamp guarantee. Peer-relative strength is not absolute business quality or intrinsic value. Industry classifications can be imperfect. Linear z mapping, family definitions, directions, thresholds and weights are modelling assumptions rather than statistically estimated truths.</w:t>
      </w:r>
    </w:p>
    <w:p>
      <w:pPr>
        <w:spacing w:after="80" w:line="259" w:lineRule="auto"/>
      </w:pPr>
      <w:r>
        <w:rPr>
          <w:rFonts w:ascii="Calibri" w:hAnsi="Calibri"/>
          <w:b w:val="0"/>
          <w:i w:val="0"/>
          <w:color w:val="000000"/>
          <w:sz w:val="19"/>
        </w:rPr>
        <w:t>Explicit family weights improve interpretability but do not prove optimal predictive power. Shrinkage stabilises small peer groups but may blur real industry distinctions. Missing-data renormalisation prevents artificial zeros but can change the effective model from stock to stock; coverage and confidence are designed to disclose that fact. The book-proximity gate can structurally favour asset-heavy businesses and reject valid high-intangible models. Long and short implementations have asymmetric financing, gap, borrow and loss risks that the score does not model.</w:t>
      </w:r>
    </w:p>
    <w:p>
      <w:pPr>
        <w:spacing w:after="80" w:line="259" w:lineRule="auto"/>
      </w:pPr>
      <w:r>
        <w:rPr>
          <w:rFonts w:ascii="Calibri" w:hAnsi="Calibri"/>
          <w:b w:val="0"/>
          <w:i w:val="0"/>
          <w:color w:val="000000"/>
          <w:sz w:val="19"/>
        </w:rPr>
        <w:t>The program has not, by architecture alone, established causality, future-return predictiveness or investable alpha. Independent point-in-time backtesting, survivorship-bias controls, look-ahead checks, turnover, capacity, costs and risk management are required before investment use.</w:t>
      </w:r>
    </w:p>
    <w:p>
      <w:pPr>
        <w:pStyle w:val="Heading1"/>
      </w:pPr>
      <w:r>
        <w:t>31. One-sentence summary</w:t>
      </w:r>
    </w:p>
    <w:p>
      <w:pPr>
        <w:spacing w:after="80" w:line="259" w:lineRule="auto"/>
      </w:pPr>
      <w:r>
        <w:rPr>
          <w:rFonts w:ascii="Calibri" w:hAnsi="Calibri"/>
          <w:b w:val="0"/>
          <w:i w:val="0"/>
          <w:color w:val="000000"/>
          <w:sz w:val="19"/>
        </w:rPr>
        <w:t>The program converts heterogeneous stock fundamentals and market data into factor-specific industry/sector-relative evidence, prevents correlated signals from dominating through duplicate groups, balances economic themes through family weights, separates conviction from data completeness, and admits only high-confidence, risk-compliant, top-ranked names into user-sized long and short universes while preserving a complete audit trail.</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385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Single-Stock Analysis Program — Complete Architecture and Mathematical Specification</dc:title>
  <dc:subject>Full behavioral architecture, scoring, weighting, peer methodology, controls and validation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