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0B2545"/>
          <w:sz w:val="48"/>
        </w:rPr>
        <w:t>凌光生产系统访问安全标准</w:t>
      </w:r>
    </w:p>
    <w:p>
      <w:pPr>
        <w:spacing w:after="360"/>
      </w:pPr>
      <w:r>
        <w:rPr>
          <w:rFonts w:ascii="Calibri" w:hAnsi="Calibri" w:eastAsia="Microsoft YaHei"/>
          <w:color w:val="5A6470"/>
          <w:sz w:val="20"/>
        </w:rPr>
        <w:t>虚构资料 - DocQuery N3 评测专用</w:t>
      </w:r>
    </w:p>
    <w:p>
      <w:pPr>
        <w:pStyle w:val="Heading1"/>
      </w:pPr>
      <w:r>
        <w:t>账号与认证</w:t>
      </w:r>
    </w:p>
    <w:p>
      <w:pPr>
        <w:pStyle w:val="Heading2"/>
      </w:pPr>
      <w:r>
        <w:t>登录失败</w:t>
      </w:r>
    </w:p>
    <w:p>
      <w:pPr>
        <w:keepLines w:val="0"/>
      </w:pPr>
      <w:r>
        <w:t>同一账号连续五次密码失败后锁定30分钟。安全管理员可以提前解锁，但必须填写事件编号；普通平台主管不能提前解锁。</w:t>
      </w:r>
    </w:p>
    <w:p>
      <w:pPr>
        <w:pStyle w:val="Heading2"/>
      </w:pPr>
      <w:r>
        <w:t>多因素认证</w:t>
      </w:r>
    </w:p>
    <w:p>
      <w:pPr>
        <w:keepLines w:val="0"/>
      </w:pPr>
      <w:r>
        <w:t>生产控制台和密钥管理页面必须使用多因素认证。只读监控大屏使用设备证书，不允许共享个人验证码。</w:t>
      </w:r>
    </w:p>
    <w:p>
      <w:pPr>
        <w:pStyle w:val="Heading1"/>
      </w:pPr>
      <w:r>
        <w:t>紧急访问</w:t>
      </w:r>
    </w:p>
    <w:p>
      <w:pPr>
        <w:keepLines w:val="0"/>
      </w:pPr>
      <w:r>
        <w:t>紧急账号启用需要值班经理和安全负责人双人批准，有效期最长两小时。使用结束后15分钟内必须自动禁用，并在次日12:00前完成访问复盘。</w:t>
      </w:r>
    </w:p>
    <w:p>
      <w:pPr>
        <w:pStyle w:val="Heading1"/>
      </w:pPr>
      <w:r>
        <w:t>凭证轮换</w:t>
      </w:r>
    </w:p>
    <w:p>
      <w:pPr>
        <w:keepLines w:val="0"/>
      </w:pPr>
      <w:r>
        <w:t>生产应用密钥每90天轮换一次。新旧密钥最多并存24小时；确认新密钥成功调用后，应立即撤销旧密钥。</w:t>
      </w:r>
    </w:p>
    <w:p>
      <w:pPr>
        <w:pStyle w:val="Heading1"/>
      </w:pPr>
      <w:r>
        <w:t>审计要求</w:t>
      </w:r>
    </w:p>
    <w:p>
      <w:pPr>
        <w:keepLines w:val="0"/>
      </w:pPr>
      <w:r>
        <w:t>审计记录可以包含应用、资源、结果和不透明actorRef，不得把actorRef当作可信用户身份。Authorization和完整Secret不得写入日志或审计。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E767E"/>
        <w:sz w:val="18"/>
      </w:rPr>
      <w:t>DocQuery n3-eval-v1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