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0B2545"/>
          <w:sz w:val="48"/>
        </w:rPr>
        <w:t>星岚供应商退货作业指导书</w:t>
      </w:r>
    </w:p>
    <w:p>
      <w:pPr>
        <w:spacing w:after="360"/>
      </w:pPr>
      <w:r>
        <w:rPr>
          <w:rFonts w:ascii="Calibri" w:hAnsi="Calibri" w:eastAsia="Microsoft YaHei"/>
          <w:color w:val="5A6470"/>
          <w:sz w:val="20"/>
        </w:rPr>
        <w:t>虚构资料 - DocQuery N3 评测专用</w:t>
      </w:r>
    </w:p>
    <w:p>
      <w:pPr>
        <w:pStyle w:val="Heading1"/>
      </w:pPr>
      <w:r>
        <w:t>退货受理</w:t>
      </w:r>
    </w:p>
    <w:p>
      <w:pPr>
        <w:keepLines w:val="0"/>
      </w:pPr>
      <w:r>
        <w:t>发现来料缺陷后两个工作日内创建RMA申请。申请必须包含采购订单号、物料批次、缺陷照片和抽检数量。</w:t>
      </w:r>
    </w:p>
    <w:p>
      <w:pPr>
        <w:pStyle w:val="Heading1"/>
      </w:pPr>
      <w:r>
        <w:t>包装与标签</w:t>
      </w:r>
    </w:p>
    <w:p>
      <w:pPr>
        <w:keepLines w:val="0"/>
      </w:pPr>
      <w:r>
        <w:t>退货外箱使用橙色RMA标签。每箱只能包含一个物料批次，标签上的RMA编号必须与装箱单一致。静电敏感器件还必须使用银色防静电袋。</w:t>
      </w:r>
    </w:p>
    <w:p>
      <w:pPr>
        <w:pStyle w:val="Heading1"/>
      </w:pPr>
      <w:r>
        <w:t>承运安排</w:t>
      </w:r>
    </w:p>
    <w:p>
      <w:pPr>
        <w:keepLines w:val="0"/>
      </w:pPr>
      <w:r>
        <w:t>供应商承担质量缺陷退货运费。仓库在收到供应商取件码后才能交付承运人；不得使用采购员口头提供的临时地址。</w:t>
      </w:r>
    </w:p>
    <w:p>
      <w:pPr>
        <w:pStyle w:val="Heading1"/>
      </w:pPr>
      <w:r>
        <w:t>账务关闭</w:t>
      </w:r>
    </w:p>
    <w:p>
      <w:pPr>
        <w:keepLines w:val="0"/>
      </w:pPr>
      <w:r>
        <w:t>供应商签收后，采购员在三个工作日内上传签收证明。财务收到签收证明和红字发票后关闭RMA；缺少任一材料时保持待结算状态。</w:t>
      </w:r>
    </w:p>
    <w:p>
      <w:pPr>
        <w:pStyle w:val="Heading1"/>
      </w:pPr>
      <w:r>
        <w:t>数量差异</w:t>
      </w:r>
    </w:p>
    <w:p>
      <w:pPr>
        <w:keepLines w:val="0"/>
      </w:pPr>
      <w:r>
        <w:t>供应商签收数量与装箱单不一致时，仓库不得直接修改原装箱单，应创建差异记录并保留出库称重照片。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E767E"/>
        <w:sz w:val="18"/>
      </w:rPr>
      <w:t>DocQuery n3-eval-v1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