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0B2545"/>
          <w:sz w:val="48"/>
        </w:rPr>
        <w:t>澄岳差旅与费用报销制度</w:t>
      </w:r>
    </w:p>
    <w:p>
      <w:pPr>
        <w:spacing w:after="360"/>
      </w:pPr>
      <w:r>
        <w:rPr>
          <w:rFonts w:ascii="Calibri" w:hAnsi="Calibri" w:eastAsia="Microsoft YaHei"/>
          <w:color w:val="5A6470"/>
          <w:sz w:val="20"/>
        </w:rPr>
        <w:t>虚构资料 - DocQuery N3 评测专用</w:t>
      </w:r>
    </w:p>
    <w:p>
      <w:pPr>
        <w:pStyle w:val="Heading1"/>
      </w:pPr>
      <w:r>
        <w:t>交通与住宿</w:t>
      </w:r>
    </w:p>
    <w:p>
      <w:pPr>
        <w:keepLines w:val="0"/>
      </w:pPr>
      <w:r>
        <w:t>高铁行程不超过五小时的，原则上购买二等座。单晚住宿含税上限为680元；北京、上海、深圳三地在展会期间可以上浮至860元，但报销时必须附会议通知。</w:t>
      </w:r>
    </w:p>
    <w:p>
      <w:pPr>
        <w:pStyle w:val="Heading1"/>
      </w:pPr>
      <w:r>
        <w:t>餐费与招待</w:t>
      </w:r>
    </w:p>
    <w:p>
      <w:pPr>
        <w:keepLines w:val="0"/>
      </w:pPr>
      <w:r>
        <w:t>出差餐费按每人每天160元包干。已经由客户或会议主办方提供正餐的，当日包干额扣减50元。业务招待费不与餐费包干重复报销。</w:t>
      </w:r>
    </w:p>
    <w:p>
      <w:pPr>
        <w:pStyle w:val="Heading1"/>
      </w:pPr>
      <w:r>
        <w:t>预审批</w:t>
      </w:r>
    </w:p>
    <w:p>
      <w:pPr>
        <w:keepLines w:val="0"/>
      </w:pPr>
      <w:r>
        <w:t>预计总费用超过5000元的差旅必须在出发前取得直属经理批准。临时抢修任务可以先出发，但应在任务开始后24小时内补交预审批。</w:t>
      </w:r>
    </w:p>
    <w:p>
      <w:pPr>
        <w:pStyle w:val="Heading1"/>
      </w:pPr>
      <w:r>
        <w:t>票据与提交期限</w:t>
      </w:r>
    </w:p>
    <w:p>
      <w:pPr>
        <w:keepLines w:val="0"/>
      </w:pPr>
      <w:r>
        <w:t>报销申请应在返程后10个工作日内提交。电子发票必须上传原始PDF文件，截图不能替代原始发票。</w:t>
      </w:r>
    </w:p>
    <w:p>
      <w:pPr>
        <w:pStyle w:val="Heading1"/>
      </w:pPr>
      <w:r>
        <w:t>例外处理</w:t>
      </w:r>
    </w:p>
    <w:p>
      <w:pPr>
        <w:keepLines w:val="0"/>
      </w:pPr>
      <w:r>
        <w:t>因航班取消导致住宿超过标准时，需要同时提交航空公司取消证明和酒店结算单。只有其中一项材料时，超标部分暂不报销。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767E"/>
        <w:sz w:val="18"/>
      </w:rPr>
      <w:t>DocQuery n3-eval-v1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