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244AE" w14:textId="77777777" w:rsidR="00C816CD" w:rsidRPr="00457CB9" w:rsidRDefault="00000000">
      <w:pPr>
        <w:rPr>
          <w:sz w:val="24"/>
          <w:szCs w:val="24"/>
        </w:rPr>
      </w:pPr>
      <w:r w:rsidRPr="00457CB9">
        <w:rPr>
          <w:rFonts w:ascii="Arial" w:hAnsi="Arial"/>
          <w:b/>
          <w:color w:val="0F172A"/>
          <w:sz w:val="48"/>
          <w:szCs w:val="24"/>
        </w:rPr>
        <w:t>ContractLens — Product Requirements Document (PRD)</w:t>
      </w:r>
    </w:p>
    <w:p w14:paraId="29F19A4F" w14:textId="77777777" w:rsidR="00C816CD" w:rsidRPr="00457CB9" w:rsidRDefault="00000000">
      <w:pPr>
        <w:rPr>
          <w:sz w:val="24"/>
          <w:szCs w:val="24"/>
        </w:rPr>
      </w:pPr>
      <w:r w:rsidRPr="00457CB9">
        <w:rPr>
          <w:rFonts w:ascii="Arial" w:hAnsi="Arial"/>
          <w:b/>
          <w:color w:val="0D9488"/>
          <w:sz w:val="20"/>
          <w:szCs w:val="24"/>
        </w:rPr>
        <w:t>Version: 3.0 (Production Release Baseline) | Primary Persona: Maya Rao (Commercial Ops) | Governance: Legal Ops</w:t>
      </w:r>
    </w:p>
    <w:p w14:paraId="34B98D09" w14:textId="77777777" w:rsidR="00C816CD" w:rsidRPr="00457CB9" w:rsidRDefault="00000000">
      <w:pPr>
        <w:pStyle w:val="Heading1"/>
        <w:rPr>
          <w:sz w:val="32"/>
          <w:szCs w:val="32"/>
        </w:rPr>
      </w:pPr>
      <w:r w:rsidRPr="00457CB9">
        <w:rPr>
          <w:color w:val="0F172A"/>
          <w:sz w:val="32"/>
          <w:szCs w:val="32"/>
        </w:rPr>
        <w:t>1. Problem Statement &amp; Opportunity Sizing</w:t>
      </w:r>
    </w:p>
    <w:p w14:paraId="4D645EEC" w14:textId="77777777" w:rsidR="00C816CD" w:rsidRPr="00457CB9" w:rsidRDefault="00000000">
      <w:pPr>
        <w:rPr>
          <w:sz w:val="24"/>
          <w:szCs w:val="24"/>
        </w:rPr>
      </w:pPr>
      <w:r w:rsidRPr="00457CB9">
        <w:rPr>
          <w:b/>
          <w:sz w:val="24"/>
          <w:szCs w:val="24"/>
        </w:rPr>
        <w:t>1.1 The Market Problem</w:t>
      </w:r>
      <w:r w:rsidRPr="00457CB9">
        <w:rPr>
          <w:b/>
          <w:sz w:val="24"/>
          <w:szCs w:val="24"/>
        </w:rPr>
        <w:br/>
      </w:r>
      <w:r w:rsidRPr="00457CB9">
        <w:rPr>
          <w:sz w:val="24"/>
          <w:szCs w:val="24"/>
        </w:rPr>
        <w:t>Mid-market enterprises ($10M–$250M ARR) suffer from persistent Post-Signature Value Leakage. Organizations lose an average of 8.6% to 11% of total contract value annually post-execution due to unassigned operational covenants, unmonitored renewal cutoff windows, and altered counterparty terms. Traditional enterprise CLM solutions (Ironclad, Icertis) are legal-centric, pre-signature tools requiring 6–9 months to deploy. Meanwhile, horizontal AI chatbots ('Chat with PDF') rely on stateless vector retrieval that regularly hallucinates critical calendar cutoff dates and lacks deterministic business logic or persistent state tracking.</w:t>
      </w:r>
      <w:r w:rsidRPr="00457CB9">
        <w:rPr>
          <w:sz w:val="24"/>
          <w:szCs w:val="24"/>
        </w:rPr>
        <w:br/>
      </w:r>
      <w:r w:rsidRPr="00457CB9">
        <w:rPr>
          <w:sz w:val="24"/>
          <w:szCs w:val="24"/>
        </w:rPr>
        <w:br/>
      </w:r>
    </w:p>
    <w:tbl>
      <w:tblPr>
        <w:tblW w:w="0" w:type="auto"/>
        <w:jc w:val="center"/>
        <w:tblLook w:val="04A0" w:firstRow="1" w:lastRow="0" w:firstColumn="1" w:lastColumn="0" w:noHBand="0" w:noVBand="1"/>
      </w:tblPr>
      <w:tblGrid>
        <w:gridCol w:w="10080"/>
      </w:tblGrid>
      <w:tr w:rsidR="00C816CD" w:rsidRPr="00457CB9" w14:paraId="21F94E1B" w14:textId="77777777">
        <w:trPr>
          <w:jc w:val="center"/>
        </w:trPr>
        <w:tc>
          <w:tcPr>
            <w:tcW w:w="10080" w:type="dxa"/>
            <w:tcBorders>
              <w:left w:val="single" w:sz="24" w:space="0" w:color="0D9488"/>
            </w:tcBorders>
            <w:shd w:val="clear" w:color="auto" w:fill="F0FDFA"/>
            <w:tcMar>
              <w:top w:w="140" w:type="dxa"/>
              <w:left w:w="180" w:type="dxa"/>
              <w:bottom w:w="140" w:type="dxa"/>
              <w:right w:w="180" w:type="dxa"/>
            </w:tcMar>
          </w:tcPr>
          <w:p w14:paraId="1E9A569C" w14:textId="77777777" w:rsidR="00C816CD" w:rsidRPr="00457CB9" w:rsidRDefault="00000000">
            <w:pPr>
              <w:rPr>
                <w:sz w:val="24"/>
                <w:szCs w:val="24"/>
              </w:rPr>
            </w:pPr>
            <w:r w:rsidRPr="00457CB9">
              <w:rPr>
                <w:b/>
                <w:color w:val="0F766E"/>
                <w:szCs w:val="24"/>
              </w:rPr>
              <w:t>Core System Thesis</w:t>
            </w:r>
            <w:r w:rsidRPr="00457CB9">
              <w:rPr>
                <w:b/>
                <w:color w:val="0F766E"/>
                <w:szCs w:val="24"/>
              </w:rPr>
              <w:br/>
            </w:r>
            <w:r w:rsidRPr="00457CB9">
              <w:rPr>
                <w:i/>
                <w:color w:val="134E4A"/>
                <w:sz w:val="20"/>
                <w:szCs w:val="24"/>
              </w:rPr>
              <w:t>LLMs reason. Deterministic code calculates. Governance supervises. Humans decide.</w:t>
            </w:r>
            <w:r w:rsidRPr="00457CB9">
              <w:rPr>
                <w:i/>
                <w:color w:val="134E4A"/>
                <w:sz w:val="20"/>
                <w:szCs w:val="24"/>
              </w:rPr>
              <w:br/>
              <w:t>ContractLens transforms unstructured legal agreements into typed, stateful commitment graphs that govern operations post-signature.</w:t>
            </w:r>
          </w:p>
        </w:tc>
      </w:tr>
    </w:tbl>
    <w:p w14:paraId="74361475" w14:textId="77777777" w:rsidR="00C816CD" w:rsidRPr="00457CB9" w:rsidRDefault="00000000">
      <w:pPr>
        <w:pStyle w:val="Heading1"/>
        <w:rPr>
          <w:sz w:val="32"/>
          <w:szCs w:val="32"/>
        </w:rPr>
      </w:pPr>
      <w:r w:rsidRPr="00457CB9">
        <w:rPr>
          <w:color w:val="0F172A"/>
          <w:sz w:val="32"/>
          <w:szCs w:val="32"/>
        </w:rPr>
        <w:t>2. Quantitative Success Metrics (Target OKRs)</w:t>
      </w:r>
    </w:p>
    <w:tbl>
      <w:tblPr>
        <w:tblW w:w="0" w:type="auto"/>
        <w:jc w:val="center"/>
        <w:tblLook w:val="04A0" w:firstRow="1" w:lastRow="0" w:firstColumn="1" w:lastColumn="0" w:noHBand="0" w:noVBand="1"/>
      </w:tblPr>
      <w:tblGrid>
        <w:gridCol w:w="2880"/>
        <w:gridCol w:w="4608"/>
        <w:gridCol w:w="2592"/>
      </w:tblGrid>
      <w:tr w:rsidR="00C816CD" w:rsidRPr="00457CB9" w14:paraId="0E093721" w14:textId="77777777">
        <w:trPr>
          <w:jc w:val="center"/>
        </w:trPr>
        <w:tc>
          <w:tcPr>
            <w:tcW w:w="2880" w:type="dxa"/>
            <w:shd w:val="clear" w:color="auto" w:fill="0F172A"/>
            <w:tcMar>
              <w:top w:w="100" w:type="dxa"/>
              <w:left w:w="140" w:type="dxa"/>
              <w:bottom w:w="100" w:type="dxa"/>
              <w:right w:w="140" w:type="dxa"/>
            </w:tcMar>
          </w:tcPr>
          <w:p w14:paraId="59BBC49D" w14:textId="77777777" w:rsidR="00C816CD" w:rsidRPr="00457CB9" w:rsidRDefault="00000000">
            <w:pPr>
              <w:rPr>
                <w:sz w:val="24"/>
                <w:szCs w:val="24"/>
              </w:rPr>
            </w:pPr>
            <w:r w:rsidRPr="00457CB9">
              <w:rPr>
                <w:b/>
                <w:color w:val="FFFFFF"/>
                <w:sz w:val="18"/>
                <w:szCs w:val="24"/>
              </w:rPr>
              <w:t>Metric Category</w:t>
            </w:r>
          </w:p>
        </w:tc>
        <w:tc>
          <w:tcPr>
            <w:tcW w:w="4608" w:type="dxa"/>
            <w:shd w:val="clear" w:color="auto" w:fill="0F172A"/>
            <w:tcMar>
              <w:top w:w="100" w:type="dxa"/>
              <w:left w:w="140" w:type="dxa"/>
              <w:bottom w:w="100" w:type="dxa"/>
              <w:right w:w="140" w:type="dxa"/>
            </w:tcMar>
          </w:tcPr>
          <w:p w14:paraId="13729B79" w14:textId="77777777" w:rsidR="00C816CD" w:rsidRPr="00457CB9" w:rsidRDefault="00000000">
            <w:pPr>
              <w:rPr>
                <w:sz w:val="24"/>
                <w:szCs w:val="24"/>
              </w:rPr>
            </w:pPr>
            <w:r w:rsidRPr="00457CB9">
              <w:rPr>
                <w:b/>
                <w:color w:val="FFFFFF"/>
                <w:sz w:val="18"/>
                <w:szCs w:val="24"/>
              </w:rPr>
              <w:t>Key Performance Indicator (KPI)</w:t>
            </w:r>
          </w:p>
        </w:tc>
        <w:tc>
          <w:tcPr>
            <w:tcW w:w="2592" w:type="dxa"/>
            <w:shd w:val="clear" w:color="auto" w:fill="0F172A"/>
            <w:tcMar>
              <w:top w:w="100" w:type="dxa"/>
              <w:left w:w="140" w:type="dxa"/>
              <w:bottom w:w="100" w:type="dxa"/>
              <w:right w:w="140" w:type="dxa"/>
            </w:tcMar>
          </w:tcPr>
          <w:p w14:paraId="2EC31BAB" w14:textId="77777777" w:rsidR="00C816CD" w:rsidRPr="00457CB9" w:rsidRDefault="00000000">
            <w:pPr>
              <w:rPr>
                <w:sz w:val="24"/>
                <w:szCs w:val="24"/>
              </w:rPr>
            </w:pPr>
            <w:r w:rsidRPr="00457CB9">
              <w:rPr>
                <w:b/>
                <w:color w:val="FFFFFF"/>
                <w:sz w:val="18"/>
                <w:szCs w:val="24"/>
              </w:rPr>
              <w:t>Production Target</w:t>
            </w:r>
          </w:p>
        </w:tc>
      </w:tr>
      <w:tr w:rsidR="00C816CD" w:rsidRPr="00457CB9" w14:paraId="527B9FDD" w14:textId="77777777">
        <w:trPr>
          <w:jc w:val="center"/>
        </w:trPr>
        <w:tc>
          <w:tcPr>
            <w:tcW w:w="2880" w:type="dxa"/>
            <w:shd w:val="clear" w:color="auto" w:fill="FFFFFF"/>
            <w:tcMar>
              <w:top w:w="100" w:type="dxa"/>
              <w:left w:w="140" w:type="dxa"/>
              <w:bottom w:w="100" w:type="dxa"/>
              <w:right w:w="140" w:type="dxa"/>
            </w:tcMar>
          </w:tcPr>
          <w:p w14:paraId="1294B5D2" w14:textId="77777777" w:rsidR="00C816CD" w:rsidRPr="00457CB9" w:rsidRDefault="00000000">
            <w:pPr>
              <w:rPr>
                <w:sz w:val="24"/>
                <w:szCs w:val="24"/>
              </w:rPr>
            </w:pPr>
            <w:r w:rsidRPr="00457CB9">
              <w:rPr>
                <w:b/>
                <w:sz w:val="18"/>
                <w:szCs w:val="24"/>
              </w:rPr>
              <w:t>Operational Impact</w:t>
            </w:r>
          </w:p>
        </w:tc>
        <w:tc>
          <w:tcPr>
            <w:tcW w:w="4608" w:type="dxa"/>
            <w:shd w:val="clear" w:color="auto" w:fill="FFFFFF"/>
            <w:tcMar>
              <w:top w:w="100" w:type="dxa"/>
              <w:left w:w="140" w:type="dxa"/>
              <w:bottom w:w="100" w:type="dxa"/>
              <w:right w:w="140" w:type="dxa"/>
            </w:tcMar>
          </w:tcPr>
          <w:p w14:paraId="6E10020B" w14:textId="77777777" w:rsidR="00C816CD" w:rsidRPr="00457CB9" w:rsidRDefault="00000000">
            <w:pPr>
              <w:rPr>
                <w:sz w:val="24"/>
                <w:szCs w:val="24"/>
              </w:rPr>
            </w:pPr>
            <w:r w:rsidRPr="00457CB9">
              <w:rPr>
                <w:sz w:val="18"/>
                <w:szCs w:val="24"/>
              </w:rPr>
              <w:t>Post-Signature Value Leakage</w:t>
            </w:r>
          </w:p>
        </w:tc>
        <w:tc>
          <w:tcPr>
            <w:tcW w:w="2592" w:type="dxa"/>
            <w:shd w:val="clear" w:color="auto" w:fill="FFFFFF"/>
            <w:tcMar>
              <w:top w:w="100" w:type="dxa"/>
              <w:left w:w="140" w:type="dxa"/>
              <w:bottom w:w="100" w:type="dxa"/>
              <w:right w:w="140" w:type="dxa"/>
            </w:tcMar>
          </w:tcPr>
          <w:p w14:paraId="772B4825" w14:textId="77777777" w:rsidR="00C816CD" w:rsidRPr="00457CB9" w:rsidRDefault="00000000">
            <w:pPr>
              <w:rPr>
                <w:sz w:val="24"/>
                <w:szCs w:val="24"/>
              </w:rPr>
            </w:pPr>
            <w:r w:rsidRPr="00457CB9">
              <w:rPr>
                <w:sz w:val="18"/>
                <w:szCs w:val="24"/>
              </w:rPr>
              <w:t>Reduced by &gt;= 80% across portfolio</w:t>
            </w:r>
          </w:p>
        </w:tc>
      </w:tr>
      <w:tr w:rsidR="00C816CD" w:rsidRPr="00457CB9" w14:paraId="292D5203" w14:textId="77777777">
        <w:trPr>
          <w:jc w:val="center"/>
        </w:trPr>
        <w:tc>
          <w:tcPr>
            <w:tcW w:w="2880" w:type="dxa"/>
            <w:shd w:val="clear" w:color="auto" w:fill="F8FAFC"/>
            <w:tcMar>
              <w:top w:w="100" w:type="dxa"/>
              <w:left w:w="140" w:type="dxa"/>
              <w:bottom w:w="100" w:type="dxa"/>
              <w:right w:w="140" w:type="dxa"/>
            </w:tcMar>
          </w:tcPr>
          <w:p w14:paraId="6BB0B4D4" w14:textId="77777777" w:rsidR="00C816CD" w:rsidRPr="00457CB9" w:rsidRDefault="00000000">
            <w:pPr>
              <w:rPr>
                <w:sz w:val="24"/>
                <w:szCs w:val="24"/>
              </w:rPr>
            </w:pPr>
            <w:r w:rsidRPr="00457CB9">
              <w:rPr>
                <w:b/>
                <w:sz w:val="18"/>
                <w:szCs w:val="24"/>
              </w:rPr>
              <w:t>Grounding Accuracy</w:t>
            </w:r>
          </w:p>
        </w:tc>
        <w:tc>
          <w:tcPr>
            <w:tcW w:w="4608" w:type="dxa"/>
            <w:shd w:val="clear" w:color="auto" w:fill="F8FAFC"/>
            <w:tcMar>
              <w:top w:w="100" w:type="dxa"/>
              <w:left w:w="140" w:type="dxa"/>
              <w:bottom w:w="100" w:type="dxa"/>
              <w:right w:w="140" w:type="dxa"/>
            </w:tcMar>
          </w:tcPr>
          <w:p w14:paraId="75161728" w14:textId="77777777" w:rsidR="00C816CD" w:rsidRPr="00457CB9" w:rsidRDefault="00000000">
            <w:pPr>
              <w:rPr>
                <w:sz w:val="24"/>
                <w:szCs w:val="24"/>
              </w:rPr>
            </w:pPr>
            <w:r w:rsidRPr="00457CB9">
              <w:rPr>
                <w:sz w:val="18"/>
                <w:szCs w:val="24"/>
              </w:rPr>
              <w:t>Evidence Grounding Ratio</w:t>
            </w:r>
          </w:p>
        </w:tc>
        <w:tc>
          <w:tcPr>
            <w:tcW w:w="2592" w:type="dxa"/>
            <w:shd w:val="clear" w:color="auto" w:fill="F8FAFC"/>
            <w:tcMar>
              <w:top w:w="100" w:type="dxa"/>
              <w:left w:w="140" w:type="dxa"/>
              <w:bottom w:w="100" w:type="dxa"/>
              <w:right w:w="140" w:type="dxa"/>
            </w:tcMar>
          </w:tcPr>
          <w:p w14:paraId="6B835A55" w14:textId="77777777" w:rsidR="00C816CD" w:rsidRPr="00457CB9" w:rsidRDefault="00000000">
            <w:pPr>
              <w:rPr>
                <w:sz w:val="24"/>
                <w:szCs w:val="24"/>
              </w:rPr>
            </w:pPr>
            <w:r w:rsidRPr="00457CB9">
              <w:rPr>
                <w:sz w:val="18"/>
                <w:szCs w:val="24"/>
              </w:rPr>
              <w:t>100% (Zero unanchored claims permitted)</w:t>
            </w:r>
          </w:p>
        </w:tc>
      </w:tr>
      <w:tr w:rsidR="00C816CD" w:rsidRPr="00457CB9" w14:paraId="62C356DF" w14:textId="77777777">
        <w:trPr>
          <w:jc w:val="center"/>
        </w:trPr>
        <w:tc>
          <w:tcPr>
            <w:tcW w:w="2880" w:type="dxa"/>
            <w:shd w:val="clear" w:color="auto" w:fill="FFFFFF"/>
            <w:tcMar>
              <w:top w:w="100" w:type="dxa"/>
              <w:left w:w="140" w:type="dxa"/>
              <w:bottom w:w="100" w:type="dxa"/>
              <w:right w:w="140" w:type="dxa"/>
            </w:tcMar>
          </w:tcPr>
          <w:p w14:paraId="4AAFFC8E" w14:textId="77777777" w:rsidR="00C816CD" w:rsidRPr="00457CB9" w:rsidRDefault="00000000">
            <w:pPr>
              <w:rPr>
                <w:sz w:val="24"/>
                <w:szCs w:val="24"/>
              </w:rPr>
            </w:pPr>
            <w:r w:rsidRPr="00457CB9">
              <w:rPr>
                <w:b/>
                <w:sz w:val="18"/>
                <w:szCs w:val="24"/>
              </w:rPr>
              <w:t>Temporal Precision</w:t>
            </w:r>
          </w:p>
        </w:tc>
        <w:tc>
          <w:tcPr>
            <w:tcW w:w="4608" w:type="dxa"/>
            <w:shd w:val="clear" w:color="auto" w:fill="FFFFFF"/>
            <w:tcMar>
              <w:top w:w="100" w:type="dxa"/>
              <w:left w:w="140" w:type="dxa"/>
              <w:bottom w:w="100" w:type="dxa"/>
              <w:right w:w="140" w:type="dxa"/>
            </w:tcMar>
          </w:tcPr>
          <w:p w14:paraId="5C78A7A7" w14:textId="77777777" w:rsidR="00C816CD" w:rsidRPr="00457CB9" w:rsidRDefault="00000000">
            <w:pPr>
              <w:rPr>
                <w:sz w:val="24"/>
                <w:szCs w:val="24"/>
              </w:rPr>
            </w:pPr>
            <w:r w:rsidRPr="00457CB9">
              <w:rPr>
                <w:sz w:val="18"/>
                <w:szCs w:val="24"/>
              </w:rPr>
              <w:t>Notice Date Calculation Error Rate</w:t>
            </w:r>
          </w:p>
        </w:tc>
        <w:tc>
          <w:tcPr>
            <w:tcW w:w="2592" w:type="dxa"/>
            <w:shd w:val="clear" w:color="auto" w:fill="FFFFFF"/>
            <w:tcMar>
              <w:top w:w="100" w:type="dxa"/>
              <w:left w:w="140" w:type="dxa"/>
              <w:bottom w:w="100" w:type="dxa"/>
              <w:right w:w="140" w:type="dxa"/>
            </w:tcMar>
          </w:tcPr>
          <w:p w14:paraId="1BC4AA3B" w14:textId="77777777" w:rsidR="00C816CD" w:rsidRPr="00457CB9" w:rsidRDefault="00000000">
            <w:pPr>
              <w:rPr>
                <w:sz w:val="24"/>
                <w:szCs w:val="24"/>
              </w:rPr>
            </w:pPr>
            <w:r w:rsidRPr="00457CB9">
              <w:rPr>
                <w:sz w:val="18"/>
                <w:szCs w:val="24"/>
              </w:rPr>
              <w:t>0.00% (Strict deterministic arithmetic)</w:t>
            </w:r>
          </w:p>
        </w:tc>
      </w:tr>
      <w:tr w:rsidR="00C816CD" w:rsidRPr="00457CB9" w14:paraId="30ED7BBD" w14:textId="77777777">
        <w:trPr>
          <w:jc w:val="center"/>
        </w:trPr>
        <w:tc>
          <w:tcPr>
            <w:tcW w:w="2880" w:type="dxa"/>
            <w:shd w:val="clear" w:color="auto" w:fill="F8FAFC"/>
            <w:tcMar>
              <w:top w:w="100" w:type="dxa"/>
              <w:left w:w="140" w:type="dxa"/>
              <w:bottom w:w="100" w:type="dxa"/>
              <w:right w:w="140" w:type="dxa"/>
            </w:tcMar>
          </w:tcPr>
          <w:p w14:paraId="7AE8A71D" w14:textId="77777777" w:rsidR="00C816CD" w:rsidRPr="00457CB9" w:rsidRDefault="00000000">
            <w:pPr>
              <w:rPr>
                <w:sz w:val="24"/>
                <w:szCs w:val="24"/>
              </w:rPr>
            </w:pPr>
            <w:r w:rsidRPr="00457CB9">
              <w:rPr>
                <w:b/>
                <w:sz w:val="18"/>
                <w:szCs w:val="24"/>
              </w:rPr>
              <w:t>Pipeline Latency</w:t>
            </w:r>
          </w:p>
        </w:tc>
        <w:tc>
          <w:tcPr>
            <w:tcW w:w="4608" w:type="dxa"/>
            <w:shd w:val="clear" w:color="auto" w:fill="F8FAFC"/>
            <w:tcMar>
              <w:top w:w="100" w:type="dxa"/>
              <w:left w:w="140" w:type="dxa"/>
              <w:bottom w:w="100" w:type="dxa"/>
              <w:right w:w="140" w:type="dxa"/>
            </w:tcMar>
          </w:tcPr>
          <w:p w14:paraId="4A5FF846" w14:textId="77777777" w:rsidR="00C816CD" w:rsidRPr="00457CB9" w:rsidRDefault="00000000">
            <w:pPr>
              <w:rPr>
                <w:sz w:val="24"/>
                <w:szCs w:val="24"/>
              </w:rPr>
            </w:pPr>
            <w:r w:rsidRPr="00457CB9">
              <w:rPr>
                <w:sz w:val="18"/>
                <w:szCs w:val="24"/>
              </w:rPr>
              <w:t>End-to-End Execution Latency</w:t>
            </w:r>
          </w:p>
        </w:tc>
        <w:tc>
          <w:tcPr>
            <w:tcW w:w="2592" w:type="dxa"/>
            <w:shd w:val="clear" w:color="auto" w:fill="F8FAFC"/>
            <w:tcMar>
              <w:top w:w="100" w:type="dxa"/>
              <w:left w:w="140" w:type="dxa"/>
              <w:bottom w:w="100" w:type="dxa"/>
              <w:right w:w="140" w:type="dxa"/>
            </w:tcMar>
          </w:tcPr>
          <w:p w14:paraId="5EC46F44" w14:textId="77777777" w:rsidR="00C816CD" w:rsidRPr="00457CB9" w:rsidRDefault="00000000">
            <w:pPr>
              <w:rPr>
                <w:sz w:val="24"/>
                <w:szCs w:val="24"/>
              </w:rPr>
            </w:pPr>
            <w:r w:rsidRPr="00457CB9">
              <w:rPr>
                <w:sz w:val="18"/>
                <w:szCs w:val="24"/>
              </w:rPr>
              <w:t>&lt; 4.0 seconds (Target: 3.4s median)</w:t>
            </w:r>
          </w:p>
        </w:tc>
      </w:tr>
      <w:tr w:rsidR="00C816CD" w:rsidRPr="00457CB9" w14:paraId="00D3A3E3" w14:textId="77777777">
        <w:trPr>
          <w:jc w:val="center"/>
        </w:trPr>
        <w:tc>
          <w:tcPr>
            <w:tcW w:w="2880" w:type="dxa"/>
            <w:shd w:val="clear" w:color="auto" w:fill="FFFFFF"/>
            <w:tcMar>
              <w:top w:w="100" w:type="dxa"/>
              <w:left w:w="140" w:type="dxa"/>
              <w:bottom w:w="100" w:type="dxa"/>
              <w:right w:w="140" w:type="dxa"/>
            </w:tcMar>
          </w:tcPr>
          <w:p w14:paraId="21B0DB0D" w14:textId="77777777" w:rsidR="00C816CD" w:rsidRPr="00457CB9" w:rsidRDefault="00000000">
            <w:pPr>
              <w:rPr>
                <w:sz w:val="24"/>
                <w:szCs w:val="24"/>
              </w:rPr>
            </w:pPr>
            <w:r w:rsidRPr="00457CB9">
              <w:rPr>
                <w:b/>
                <w:sz w:val="18"/>
                <w:szCs w:val="24"/>
              </w:rPr>
              <w:lastRenderedPageBreak/>
              <w:t>Unit Economics</w:t>
            </w:r>
          </w:p>
        </w:tc>
        <w:tc>
          <w:tcPr>
            <w:tcW w:w="4608" w:type="dxa"/>
            <w:shd w:val="clear" w:color="auto" w:fill="FFFFFF"/>
            <w:tcMar>
              <w:top w:w="100" w:type="dxa"/>
              <w:left w:w="140" w:type="dxa"/>
              <w:bottom w:w="100" w:type="dxa"/>
              <w:right w:w="140" w:type="dxa"/>
            </w:tcMar>
          </w:tcPr>
          <w:p w14:paraId="18D04FF3" w14:textId="77777777" w:rsidR="00C816CD" w:rsidRPr="00457CB9" w:rsidRDefault="00000000">
            <w:pPr>
              <w:rPr>
                <w:sz w:val="24"/>
                <w:szCs w:val="24"/>
              </w:rPr>
            </w:pPr>
            <w:r w:rsidRPr="00457CB9">
              <w:rPr>
                <w:sz w:val="18"/>
                <w:szCs w:val="24"/>
              </w:rPr>
              <w:t>Inference &amp; Processing Cost</w:t>
            </w:r>
          </w:p>
        </w:tc>
        <w:tc>
          <w:tcPr>
            <w:tcW w:w="2592" w:type="dxa"/>
            <w:shd w:val="clear" w:color="auto" w:fill="FFFFFF"/>
            <w:tcMar>
              <w:top w:w="100" w:type="dxa"/>
              <w:left w:w="140" w:type="dxa"/>
              <w:bottom w:w="100" w:type="dxa"/>
              <w:right w:w="140" w:type="dxa"/>
            </w:tcMar>
          </w:tcPr>
          <w:p w14:paraId="0A97E909" w14:textId="77777777" w:rsidR="00C816CD" w:rsidRPr="00457CB9" w:rsidRDefault="00000000">
            <w:pPr>
              <w:rPr>
                <w:sz w:val="24"/>
                <w:szCs w:val="24"/>
              </w:rPr>
            </w:pPr>
            <w:r w:rsidRPr="00457CB9">
              <w:rPr>
                <w:sz w:val="18"/>
                <w:szCs w:val="24"/>
              </w:rPr>
              <w:t>&lt;= Rs 3.20 ($0.038 USD) per contract</w:t>
            </w:r>
          </w:p>
        </w:tc>
      </w:tr>
      <w:tr w:rsidR="00C816CD" w:rsidRPr="00457CB9" w14:paraId="30886D95" w14:textId="77777777">
        <w:trPr>
          <w:jc w:val="center"/>
        </w:trPr>
        <w:tc>
          <w:tcPr>
            <w:tcW w:w="2880" w:type="dxa"/>
            <w:shd w:val="clear" w:color="auto" w:fill="F8FAFC"/>
            <w:tcMar>
              <w:top w:w="100" w:type="dxa"/>
              <w:left w:w="140" w:type="dxa"/>
              <w:bottom w:w="100" w:type="dxa"/>
              <w:right w:w="140" w:type="dxa"/>
            </w:tcMar>
          </w:tcPr>
          <w:p w14:paraId="5242F5FC" w14:textId="77777777" w:rsidR="00C816CD" w:rsidRPr="00457CB9" w:rsidRDefault="00000000">
            <w:pPr>
              <w:rPr>
                <w:sz w:val="24"/>
                <w:szCs w:val="24"/>
              </w:rPr>
            </w:pPr>
            <w:r w:rsidRPr="00457CB9">
              <w:rPr>
                <w:b/>
                <w:sz w:val="18"/>
                <w:szCs w:val="24"/>
              </w:rPr>
              <w:t>HITL Governance</w:t>
            </w:r>
          </w:p>
        </w:tc>
        <w:tc>
          <w:tcPr>
            <w:tcW w:w="4608" w:type="dxa"/>
            <w:shd w:val="clear" w:color="auto" w:fill="F8FAFC"/>
            <w:tcMar>
              <w:top w:w="100" w:type="dxa"/>
              <w:left w:w="140" w:type="dxa"/>
              <w:bottom w:w="100" w:type="dxa"/>
              <w:right w:w="140" w:type="dxa"/>
            </w:tcMar>
          </w:tcPr>
          <w:p w14:paraId="6DE39911" w14:textId="77777777" w:rsidR="00C816CD" w:rsidRPr="00457CB9" w:rsidRDefault="00000000">
            <w:pPr>
              <w:rPr>
                <w:sz w:val="24"/>
                <w:szCs w:val="24"/>
              </w:rPr>
            </w:pPr>
            <w:r w:rsidRPr="00457CB9">
              <w:rPr>
                <w:sz w:val="18"/>
                <w:szCs w:val="24"/>
              </w:rPr>
              <w:t>Operator Review Override Rate</w:t>
            </w:r>
          </w:p>
        </w:tc>
        <w:tc>
          <w:tcPr>
            <w:tcW w:w="2592" w:type="dxa"/>
            <w:shd w:val="clear" w:color="auto" w:fill="F8FAFC"/>
            <w:tcMar>
              <w:top w:w="100" w:type="dxa"/>
              <w:left w:w="140" w:type="dxa"/>
              <w:bottom w:w="100" w:type="dxa"/>
              <w:right w:w="140" w:type="dxa"/>
            </w:tcMar>
          </w:tcPr>
          <w:p w14:paraId="4F740248" w14:textId="77777777" w:rsidR="00C816CD" w:rsidRPr="00457CB9" w:rsidRDefault="00000000">
            <w:pPr>
              <w:rPr>
                <w:sz w:val="24"/>
                <w:szCs w:val="24"/>
              </w:rPr>
            </w:pPr>
            <w:r w:rsidRPr="00457CB9">
              <w:rPr>
                <w:sz w:val="18"/>
                <w:szCs w:val="24"/>
              </w:rPr>
              <w:t>&lt; 5% on AI extraction classifications</w:t>
            </w:r>
          </w:p>
        </w:tc>
      </w:tr>
    </w:tbl>
    <w:p w14:paraId="7CE0B668" w14:textId="77777777" w:rsidR="00C816CD" w:rsidRPr="00457CB9" w:rsidRDefault="00C816CD">
      <w:pPr>
        <w:spacing w:after="120"/>
        <w:rPr>
          <w:sz w:val="24"/>
          <w:szCs w:val="24"/>
        </w:rPr>
      </w:pPr>
    </w:p>
    <w:p w14:paraId="53C2A659" w14:textId="77777777" w:rsidR="00C816CD" w:rsidRPr="00457CB9" w:rsidRDefault="00000000">
      <w:pPr>
        <w:pStyle w:val="Heading1"/>
        <w:rPr>
          <w:sz w:val="32"/>
          <w:szCs w:val="32"/>
        </w:rPr>
      </w:pPr>
      <w:r w:rsidRPr="00457CB9">
        <w:rPr>
          <w:color w:val="0F172A"/>
          <w:sz w:val="32"/>
          <w:szCs w:val="32"/>
        </w:rPr>
        <w:t>3. Data Contracts &amp; System Schema Specifications</w:t>
      </w:r>
    </w:p>
    <w:p w14:paraId="6D7473D4" w14:textId="77777777" w:rsidR="00C816CD" w:rsidRPr="00457CB9" w:rsidRDefault="00000000">
      <w:pPr>
        <w:rPr>
          <w:sz w:val="24"/>
          <w:szCs w:val="24"/>
        </w:rPr>
      </w:pPr>
      <w:r w:rsidRPr="00457CB9">
        <w:rPr>
          <w:b/>
          <w:sz w:val="24"/>
          <w:szCs w:val="24"/>
        </w:rPr>
        <w:t>3.1 CommitmentNode Data Contract</w:t>
      </w:r>
      <w:r w:rsidRPr="00457CB9">
        <w:rPr>
          <w:b/>
          <w:sz w:val="24"/>
          <w:szCs w:val="24"/>
        </w:rPr>
        <w:br/>
      </w:r>
      <w:r w:rsidRPr="00457CB9">
        <w:rPr>
          <w:sz w:val="24"/>
          <w:szCs w:val="24"/>
        </w:rPr>
        <w:t>Every legal covenant is converted into an explicit CommitmentNode validated against this typed schema:</w:t>
      </w:r>
    </w:p>
    <w:tbl>
      <w:tblPr>
        <w:tblW w:w="0" w:type="auto"/>
        <w:jc w:val="center"/>
        <w:tblLook w:val="04A0" w:firstRow="1" w:lastRow="0" w:firstColumn="1" w:lastColumn="0" w:noHBand="0" w:noVBand="1"/>
      </w:tblPr>
      <w:tblGrid>
        <w:gridCol w:w="10080"/>
      </w:tblGrid>
      <w:tr w:rsidR="00C816CD" w:rsidRPr="00457CB9" w14:paraId="54510482" w14:textId="77777777">
        <w:trPr>
          <w:jc w:val="center"/>
        </w:trPr>
        <w:tc>
          <w:tcPr>
            <w:tcW w:w="10080" w:type="dxa"/>
            <w:tcBorders>
              <w:left w:val="single" w:sz="12" w:space="0" w:color="CBD5E1"/>
            </w:tcBorders>
            <w:shd w:val="clear" w:color="auto" w:fill="F8FAFC"/>
            <w:tcMar>
              <w:top w:w="100" w:type="dxa"/>
              <w:left w:w="140" w:type="dxa"/>
              <w:bottom w:w="100" w:type="dxa"/>
              <w:right w:w="140" w:type="dxa"/>
            </w:tcMar>
          </w:tcPr>
          <w:p w14:paraId="278C8181" w14:textId="77777777" w:rsidR="00C816CD" w:rsidRPr="00457CB9" w:rsidRDefault="00000000">
            <w:pPr>
              <w:rPr>
                <w:sz w:val="24"/>
                <w:szCs w:val="24"/>
              </w:rPr>
            </w:pPr>
            <w:r w:rsidRPr="00457CB9">
              <w:rPr>
                <w:rFonts w:ascii="Consolas" w:hAnsi="Consolas"/>
                <w:color w:val="334155"/>
                <w:sz w:val="18"/>
                <w:szCs w:val="24"/>
              </w:rPr>
              <w:t>{</w:t>
            </w:r>
            <w:r w:rsidRPr="00457CB9">
              <w:rPr>
                <w:rFonts w:ascii="Consolas" w:hAnsi="Consolas"/>
                <w:color w:val="334155"/>
                <w:sz w:val="18"/>
                <w:szCs w:val="24"/>
              </w:rPr>
              <w:br/>
              <w:t xml:space="preserve">  "commitment_id": "COM-052-RENEW",</w:t>
            </w:r>
            <w:r w:rsidRPr="00457CB9">
              <w:rPr>
                <w:rFonts w:ascii="Consolas" w:hAnsi="Consolas"/>
                <w:color w:val="334155"/>
                <w:sz w:val="18"/>
                <w:szCs w:val="24"/>
              </w:rPr>
              <w:br/>
              <w:t xml:space="preserve">  "party": "Buyer",</w:t>
            </w:r>
            <w:r w:rsidRPr="00457CB9">
              <w:rPr>
                <w:rFonts w:ascii="Consolas" w:hAnsi="Consolas"/>
                <w:color w:val="334155"/>
                <w:sz w:val="18"/>
                <w:szCs w:val="24"/>
              </w:rPr>
              <w:br/>
              <w:t xml:space="preserve">  "obligation_type": "Notice_Filing",</w:t>
            </w:r>
            <w:r w:rsidRPr="00457CB9">
              <w:rPr>
                <w:rFonts w:ascii="Consolas" w:hAnsi="Consolas"/>
                <w:color w:val="334155"/>
                <w:sz w:val="18"/>
                <w:szCs w:val="24"/>
              </w:rPr>
              <w:br/>
              <w:t xml:space="preserve">  "trigger_condition": "90 days prior to contract expiration",</w:t>
            </w:r>
            <w:r w:rsidRPr="00457CB9">
              <w:rPr>
                <w:rFonts w:ascii="Consolas" w:hAnsi="Consolas"/>
                <w:color w:val="334155"/>
                <w:sz w:val="18"/>
                <w:szCs w:val="24"/>
              </w:rPr>
              <w:br/>
              <w:t xml:space="preserve">  "deadline_spec": {</w:t>
            </w:r>
            <w:r w:rsidRPr="00457CB9">
              <w:rPr>
                <w:rFonts w:ascii="Consolas" w:hAnsi="Consolas"/>
                <w:color w:val="334155"/>
                <w:sz w:val="18"/>
                <w:szCs w:val="24"/>
              </w:rPr>
              <w:br/>
              <w:t xml:space="preserve">    "calculation_method": "DETERMINISTIC_SUBTRACTION",</w:t>
            </w:r>
            <w:r w:rsidRPr="00457CB9">
              <w:rPr>
                <w:rFonts w:ascii="Consolas" w:hAnsi="Consolas"/>
                <w:color w:val="334155"/>
                <w:sz w:val="18"/>
                <w:szCs w:val="24"/>
              </w:rPr>
              <w:br/>
              <w:t xml:space="preserve">    "base_date": "2027-10-31",</w:t>
            </w:r>
            <w:r w:rsidRPr="00457CB9">
              <w:rPr>
                <w:rFonts w:ascii="Consolas" w:hAnsi="Consolas"/>
                <w:color w:val="334155"/>
                <w:sz w:val="18"/>
                <w:szCs w:val="24"/>
              </w:rPr>
              <w:br/>
              <w:t xml:space="preserve">    "offset_days": -90,</w:t>
            </w:r>
            <w:r w:rsidRPr="00457CB9">
              <w:rPr>
                <w:rFonts w:ascii="Consolas" w:hAnsi="Consolas"/>
                <w:color w:val="334155"/>
                <w:sz w:val="18"/>
                <w:szCs w:val="24"/>
              </w:rPr>
              <w:br/>
              <w:t xml:space="preserve">    "target_date": "2027-08-02",</w:t>
            </w:r>
            <w:r w:rsidRPr="00457CB9">
              <w:rPr>
                <w:rFonts w:ascii="Consolas" w:hAnsi="Consolas"/>
                <w:color w:val="334155"/>
                <w:sz w:val="18"/>
                <w:szCs w:val="24"/>
              </w:rPr>
              <w:br/>
              <w:t xml:space="preserve">    "days_remaining": 12</w:t>
            </w:r>
            <w:r w:rsidRPr="00457CB9">
              <w:rPr>
                <w:rFonts w:ascii="Consolas" w:hAnsi="Consolas"/>
                <w:color w:val="334155"/>
                <w:sz w:val="18"/>
                <w:szCs w:val="24"/>
              </w:rPr>
              <w:br/>
              <w:t xml:space="preserve">  },</w:t>
            </w:r>
            <w:r w:rsidRPr="00457CB9">
              <w:rPr>
                <w:rFonts w:ascii="Consolas" w:hAnsi="Consolas"/>
                <w:color w:val="334155"/>
                <w:sz w:val="18"/>
                <w:szCs w:val="24"/>
              </w:rPr>
              <w:br/>
              <w:t xml:space="preserve">  "assigned_owner": {</w:t>
            </w:r>
            <w:r w:rsidRPr="00457CB9">
              <w:rPr>
                <w:rFonts w:ascii="Consolas" w:hAnsi="Consolas"/>
                <w:color w:val="334155"/>
                <w:sz w:val="18"/>
                <w:szCs w:val="24"/>
              </w:rPr>
              <w:br/>
              <w:t xml:space="preserve">    "name": "Maya Rao",</w:t>
            </w:r>
            <w:r w:rsidRPr="00457CB9">
              <w:rPr>
                <w:rFonts w:ascii="Consolas" w:hAnsi="Consolas"/>
                <w:color w:val="334155"/>
                <w:sz w:val="18"/>
                <w:szCs w:val="24"/>
              </w:rPr>
              <w:br/>
              <w:t xml:space="preserve">    "role": "Commercial Operations Lead",</w:t>
            </w:r>
            <w:r w:rsidRPr="00457CB9">
              <w:rPr>
                <w:rFonts w:ascii="Consolas" w:hAnsi="Consolas"/>
                <w:color w:val="334155"/>
                <w:sz w:val="18"/>
                <w:szCs w:val="24"/>
              </w:rPr>
              <w:br/>
              <w:t xml:space="preserve">    "department": "Commercial Operations"</w:t>
            </w:r>
            <w:r w:rsidRPr="00457CB9">
              <w:rPr>
                <w:rFonts w:ascii="Consolas" w:hAnsi="Consolas"/>
                <w:color w:val="334155"/>
                <w:sz w:val="18"/>
                <w:szCs w:val="24"/>
              </w:rPr>
              <w:br/>
              <w:t xml:space="preserve">  },</w:t>
            </w:r>
            <w:r w:rsidRPr="00457CB9">
              <w:rPr>
                <w:rFonts w:ascii="Consolas" w:hAnsi="Consolas"/>
                <w:color w:val="334155"/>
                <w:sz w:val="18"/>
                <w:szCs w:val="24"/>
              </w:rPr>
              <w:br/>
              <w:t xml:space="preserve">  "source_anchor": {</w:t>
            </w:r>
            <w:r w:rsidRPr="00457CB9">
              <w:rPr>
                <w:rFonts w:ascii="Consolas" w:hAnsi="Consolas"/>
                <w:color w:val="334155"/>
                <w:sz w:val="18"/>
                <w:szCs w:val="24"/>
              </w:rPr>
              <w:br/>
              <w:t xml:space="preserve">    "clause_id": "Section 5.2",</w:t>
            </w:r>
            <w:r w:rsidRPr="00457CB9">
              <w:rPr>
                <w:rFonts w:ascii="Consolas" w:hAnsi="Consolas"/>
                <w:color w:val="334155"/>
                <w:sz w:val="18"/>
                <w:szCs w:val="24"/>
              </w:rPr>
              <w:br/>
              <w:t xml:space="preserve">    "char_start": 14205,</w:t>
            </w:r>
            <w:r w:rsidRPr="00457CB9">
              <w:rPr>
                <w:rFonts w:ascii="Consolas" w:hAnsi="Consolas"/>
                <w:color w:val="334155"/>
                <w:sz w:val="18"/>
                <w:szCs w:val="24"/>
              </w:rPr>
              <w:br/>
              <w:t xml:space="preserve">    "char_end": 14380,</w:t>
            </w:r>
            <w:r w:rsidRPr="00457CB9">
              <w:rPr>
                <w:rFonts w:ascii="Consolas" w:hAnsi="Consolas"/>
                <w:color w:val="334155"/>
                <w:sz w:val="18"/>
                <w:szCs w:val="24"/>
              </w:rPr>
              <w:br/>
              <w:t xml:space="preserve">    "verbatim_text": "Either party may elect not to renew by providing written notice at least ninety (90) days prior to expiry.",</w:t>
            </w:r>
            <w:r w:rsidRPr="00457CB9">
              <w:rPr>
                <w:rFonts w:ascii="Consolas" w:hAnsi="Consolas"/>
                <w:color w:val="334155"/>
                <w:sz w:val="18"/>
                <w:szCs w:val="24"/>
              </w:rPr>
              <w:br/>
              <w:t xml:space="preserve">    "confidence_score": 0.99</w:t>
            </w:r>
            <w:r w:rsidRPr="00457CB9">
              <w:rPr>
                <w:rFonts w:ascii="Consolas" w:hAnsi="Consolas"/>
                <w:color w:val="334155"/>
                <w:sz w:val="18"/>
                <w:szCs w:val="24"/>
              </w:rPr>
              <w:br/>
              <w:t xml:space="preserve">  }</w:t>
            </w:r>
            <w:r w:rsidRPr="00457CB9">
              <w:rPr>
                <w:rFonts w:ascii="Consolas" w:hAnsi="Consolas"/>
                <w:color w:val="334155"/>
                <w:sz w:val="18"/>
                <w:szCs w:val="24"/>
              </w:rPr>
              <w:br/>
              <w:t>}</w:t>
            </w:r>
          </w:p>
        </w:tc>
      </w:tr>
    </w:tbl>
    <w:p w14:paraId="4326D67A" w14:textId="77777777" w:rsidR="00C816CD" w:rsidRPr="00457CB9" w:rsidRDefault="00000000">
      <w:pPr>
        <w:spacing w:before="120"/>
        <w:rPr>
          <w:sz w:val="24"/>
          <w:szCs w:val="24"/>
        </w:rPr>
      </w:pPr>
      <w:r w:rsidRPr="00457CB9">
        <w:rPr>
          <w:b/>
          <w:sz w:val="24"/>
          <w:szCs w:val="24"/>
        </w:rPr>
        <w:t>3.2 RiskShiftEvent Schema (Change Intelligence)</w:t>
      </w:r>
      <w:r w:rsidRPr="00457CB9">
        <w:rPr>
          <w:b/>
          <w:sz w:val="24"/>
          <w:szCs w:val="24"/>
        </w:rPr>
        <w:br/>
      </w:r>
      <w:r w:rsidRPr="00457CB9">
        <w:rPr>
          <w:sz w:val="24"/>
          <w:szCs w:val="24"/>
        </w:rPr>
        <w:t>Comparative redline evaluation generates a structured RiskShiftEvent before human gate presentation:</w:t>
      </w:r>
    </w:p>
    <w:tbl>
      <w:tblPr>
        <w:tblW w:w="0" w:type="auto"/>
        <w:jc w:val="center"/>
        <w:tblLook w:val="04A0" w:firstRow="1" w:lastRow="0" w:firstColumn="1" w:lastColumn="0" w:noHBand="0" w:noVBand="1"/>
      </w:tblPr>
      <w:tblGrid>
        <w:gridCol w:w="10080"/>
      </w:tblGrid>
      <w:tr w:rsidR="00C816CD" w:rsidRPr="00457CB9" w14:paraId="25A502A7" w14:textId="77777777">
        <w:trPr>
          <w:jc w:val="center"/>
        </w:trPr>
        <w:tc>
          <w:tcPr>
            <w:tcW w:w="10080" w:type="dxa"/>
            <w:tcBorders>
              <w:left w:val="single" w:sz="12" w:space="0" w:color="CBD5E1"/>
            </w:tcBorders>
            <w:shd w:val="clear" w:color="auto" w:fill="F8FAFC"/>
            <w:tcMar>
              <w:top w:w="100" w:type="dxa"/>
              <w:left w:w="140" w:type="dxa"/>
              <w:bottom w:w="100" w:type="dxa"/>
              <w:right w:w="140" w:type="dxa"/>
            </w:tcMar>
          </w:tcPr>
          <w:p w14:paraId="43FEEBB3" w14:textId="77777777" w:rsidR="00C816CD" w:rsidRPr="00457CB9" w:rsidRDefault="00000000">
            <w:pPr>
              <w:rPr>
                <w:sz w:val="24"/>
                <w:szCs w:val="24"/>
              </w:rPr>
            </w:pPr>
            <w:r w:rsidRPr="00457CB9">
              <w:rPr>
                <w:rFonts w:ascii="Consolas" w:hAnsi="Consolas"/>
                <w:color w:val="334155"/>
                <w:sz w:val="18"/>
                <w:szCs w:val="24"/>
              </w:rPr>
              <w:t>{</w:t>
            </w:r>
            <w:r w:rsidRPr="00457CB9">
              <w:rPr>
                <w:rFonts w:ascii="Consolas" w:hAnsi="Consolas"/>
                <w:color w:val="334155"/>
                <w:sz w:val="18"/>
                <w:szCs w:val="24"/>
              </w:rPr>
              <w:br/>
              <w:t xml:space="preserve">  "clause_ref": "Section 3.1",</w:t>
            </w:r>
            <w:r w:rsidRPr="00457CB9">
              <w:rPr>
                <w:rFonts w:ascii="Consolas" w:hAnsi="Consolas"/>
                <w:color w:val="334155"/>
                <w:sz w:val="18"/>
                <w:szCs w:val="24"/>
              </w:rPr>
              <w:br/>
              <w:t xml:space="preserve">  "severity": "CRITICAL",</w:t>
            </w:r>
            <w:r w:rsidRPr="00457CB9">
              <w:rPr>
                <w:rFonts w:ascii="Consolas" w:hAnsi="Consolas"/>
                <w:color w:val="334155"/>
                <w:sz w:val="18"/>
                <w:szCs w:val="24"/>
              </w:rPr>
              <w:br/>
              <w:t xml:space="preserve">  "shift_type": "WINDOW_COMPRESSION",</w:t>
            </w:r>
            <w:r w:rsidRPr="00457CB9">
              <w:rPr>
                <w:rFonts w:ascii="Consolas" w:hAnsi="Consolas"/>
                <w:color w:val="334155"/>
                <w:sz w:val="18"/>
                <w:szCs w:val="24"/>
              </w:rPr>
              <w:br/>
              <w:t xml:space="preserve">  "baseline_value": "30 business days post-arrival",</w:t>
            </w:r>
            <w:r w:rsidRPr="00457CB9">
              <w:rPr>
                <w:rFonts w:ascii="Consolas" w:hAnsi="Consolas"/>
                <w:color w:val="334155"/>
                <w:sz w:val="18"/>
                <w:szCs w:val="24"/>
              </w:rPr>
              <w:br/>
            </w:r>
            <w:r w:rsidRPr="00457CB9">
              <w:rPr>
                <w:rFonts w:ascii="Consolas" w:hAnsi="Consolas"/>
                <w:color w:val="334155"/>
                <w:sz w:val="18"/>
                <w:szCs w:val="24"/>
              </w:rPr>
              <w:lastRenderedPageBreak/>
              <w:t xml:space="preserve">  "counter_value": "7 calendar days post-arrival",</w:t>
            </w:r>
            <w:r w:rsidRPr="00457CB9">
              <w:rPr>
                <w:rFonts w:ascii="Consolas" w:hAnsi="Consolas"/>
                <w:color w:val="334155"/>
                <w:sz w:val="18"/>
                <w:szCs w:val="24"/>
              </w:rPr>
              <w:br/>
              <w:t xml:space="preserve">  "exposure_analysis": "Port customs clearance in India requires 4-6 business days; reduces testing window to &lt;48 hours, creating deemed acceptance trap.",</w:t>
            </w:r>
            <w:r w:rsidRPr="00457CB9">
              <w:rPr>
                <w:rFonts w:ascii="Consolas" w:hAnsi="Consolas"/>
                <w:color w:val="334155"/>
                <w:sz w:val="18"/>
                <w:szCs w:val="24"/>
              </w:rPr>
              <w:br/>
              <w:t xml:space="preserve">  "financial_risk_usd": 45000.00,</w:t>
            </w:r>
            <w:r w:rsidRPr="00457CB9">
              <w:rPr>
                <w:rFonts w:ascii="Consolas" w:hAnsi="Consolas"/>
                <w:color w:val="334155"/>
                <w:sz w:val="18"/>
                <w:szCs w:val="24"/>
              </w:rPr>
              <w:br/>
              <w:t xml:space="preserve">  "playbook_recommendation": {</w:t>
            </w:r>
            <w:r w:rsidRPr="00457CB9">
              <w:rPr>
                <w:rFonts w:ascii="Consolas" w:hAnsi="Consolas"/>
                <w:color w:val="334155"/>
                <w:sz w:val="18"/>
                <w:szCs w:val="24"/>
              </w:rPr>
              <w:br/>
              <w:t xml:space="preserve">    "action_type": "COUNTER_NOTICE",</w:t>
            </w:r>
            <w:r w:rsidRPr="00457CB9">
              <w:rPr>
                <w:rFonts w:ascii="Consolas" w:hAnsi="Consolas"/>
                <w:color w:val="334155"/>
                <w:sz w:val="18"/>
                <w:szCs w:val="24"/>
              </w:rPr>
              <w:br/>
              <w:t xml:space="preserve">    "recommended_clause": "Buyer shall inspect goods within twenty-one (21) business days post out-of-charge customs clearance."</w:t>
            </w:r>
            <w:r w:rsidRPr="00457CB9">
              <w:rPr>
                <w:rFonts w:ascii="Consolas" w:hAnsi="Consolas"/>
                <w:color w:val="334155"/>
                <w:sz w:val="18"/>
                <w:szCs w:val="24"/>
              </w:rPr>
              <w:br/>
              <w:t xml:space="preserve">  }</w:t>
            </w:r>
            <w:r w:rsidRPr="00457CB9">
              <w:rPr>
                <w:rFonts w:ascii="Consolas" w:hAnsi="Consolas"/>
                <w:color w:val="334155"/>
                <w:sz w:val="18"/>
                <w:szCs w:val="24"/>
              </w:rPr>
              <w:br/>
              <w:t>}</w:t>
            </w:r>
          </w:p>
        </w:tc>
      </w:tr>
    </w:tbl>
    <w:p w14:paraId="4663853A" w14:textId="77777777" w:rsidR="00C816CD" w:rsidRPr="00457CB9" w:rsidRDefault="00000000">
      <w:pPr>
        <w:pStyle w:val="Heading1"/>
        <w:rPr>
          <w:sz w:val="32"/>
          <w:szCs w:val="32"/>
        </w:rPr>
      </w:pPr>
      <w:r w:rsidRPr="00457CB9">
        <w:rPr>
          <w:color w:val="0F172A"/>
          <w:sz w:val="32"/>
          <w:szCs w:val="32"/>
        </w:rPr>
        <w:lastRenderedPageBreak/>
        <w:t>4. Product Surface Specifications (The 5 Modules)</w:t>
      </w:r>
    </w:p>
    <w:p w14:paraId="72FAE3A0" w14:textId="77777777" w:rsidR="00C816CD" w:rsidRPr="00457CB9" w:rsidRDefault="00000000">
      <w:pPr>
        <w:rPr>
          <w:sz w:val="24"/>
          <w:szCs w:val="24"/>
        </w:rPr>
      </w:pPr>
      <w:r w:rsidRPr="00457CB9">
        <w:rPr>
          <w:b/>
          <w:color w:val="0284C7"/>
          <w:szCs w:val="24"/>
        </w:rPr>
        <w:t>Module 1: Executive Overview (Governance Pulse)</w:t>
      </w:r>
      <w:r w:rsidRPr="00457CB9">
        <w:rPr>
          <w:b/>
          <w:color w:val="0284C7"/>
          <w:szCs w:val="24"/>
        </w:rPr>
        <w:br/>
      </w:r>
      <w:r w:rsidRPr="00457CB9">
        <w:rPr>
          <w:sz w:val="18"/>
          <w:szCs w:val="24"/>
        </w:rPr>
        <w:t>• Macro KPI Display: Portfolio Health (78/100, +4.6%), Managed Value ($1.01M / Rs 8.40 Cr across 12 contracts), Unmitigated Exposure ($51,000 across 3 pending actions), Next Control Date (02 Aug 2027 cutoff under Section 5.2).</w:t>
      </w:r>
      <w:r w:rsidRPr="00457CB9">
        <w:rPr>
          <w:sz w:val="18"/>
          <w:szCs w:val="24"/>
        </w:rPr>
        <w:br/>
        <w:t>• Agreement in Focus: Auric Consumer Brands Pvt Ltd (India) &lt;-&gt; Pacific Rim Formulations Ltd (Hong Kong), $45,000 USD-fixed annual value.</w:t>
      </w:r>
      <w:r w:rsidRPr="00457CB9">
        <w:rPr>
          <w:sz w:val="18"/>
          <w:szCs w:val="24"/>
        </w:rPr>
        <w:br/>
        <w:t>• Key Insight Box: 'The operating risk moved, not the headline value. A 7-day deemed-acceptance window and a 50% advance payment against Bill of Lading now matter more than the $45,000 annual value.'</w:t>
      </w:r>
      <w:r w:rsidRPr="00457CB9">
        <w:rPr>
          <w:sz w:val="18"/>
          <w:szCs w:val="24"/>
        </w:rPr>
        <w:br/>
        <w:t>• Priority Action Banner: Assigned to Maya Rao with 1-click execution dispatch.</w:t>
      </w:r>
    </w:p>
    <w:p w14:paraId="1DFB5E00" w14:textId="77777777" w:rsidR="00C816CD" w:rsidRPr="00457CB9" w:rsidRDefault="00000000">
      <w:pPr>
        <w:rPr>
          <w:sz w:val="24"/>
          <w:szCs w:val="24"/>
        </w:rPr>
      </w:pPr>
      <w:r w:rsidRPr="00457CB9">
        <w:rPr>
          <w:b/>
          <w:color w:val="0284C7"/>
          <w:szCs w:val="24"/>
        </w:rPr>
        <w:t>Module 2: Agreements &amp; Commitments Register</w:t>
      </w:r>
      <w:r w:rsidRPr="00457CB9">
        <w:rPr>
          <w:b/>
          <w:color w:val="0284C7"/>
          <w:szCs w:val="24"/>
        </w:rPr>
        <w:br/>
      </w:r>
      <w:r w:rsidRPr="00457CB9">
        <w:rPr>
          <w:sz w:val="18"/>
          <w:szCs w:val="24"/>
        </w:rPr>
        <w:t>• Active State Machine: Contract Effective (01 Nov 2026) -&gt; Destination Testing (08 Nov 2026) -&gt; Renewal Cutoff (02 Aug 2027).</w:t>
      </w:r>
      <w:r w:rsidRPr="00457CB9">
        <w:rPr>
          <w:sz w:val="18"/>
          <w:szCs w:val="24"/>
        </w:rPr>
        <w:br/>
        <w:t>• Commitment Register Ledger: Explicit operational owner, trigger, deadline, and status per obligation (Sections 5.2, 3.1, 4.2, 2.2).</w:t>
      </w:r>
      <w:r w:rsidRPr="00457CB9">
        <w:rPr>
          <w:sz w:val="18"/>
          <w:szCs w:val="24"/>
        </w:rPr>
        <w:br/>
        <w:t>• Slide-Over Evidence Drawer: 94%-99% AI confidence ratings, exact verbatim clause text, and HITL action buttons ('Acknowledge Control' and 'Draft Counter-Notice Email').</w:t>
      </w:r>
    </w:p>
    <w:p w14:paraId="4F51D6A1" w14:textId="77777777" w:rsidR="00C816CD" w:rsidRPr="00457CB9" w:rsidRDefault="00000000">
      <w:pPr>
        <w:rPr>
          <w:sz w:val="24"/>
          <w:szCs w:val="24"/>
        </w:rPr>
      </w:pPr>
      <w:r w:rsidRPr="00457CB9">
        <w:rPr>
          <w:b/>
          <w:color w:val="0284C7"/>
          <w:szCs w:val="24"/>
        </w:rPr>
        <w:t>Module 3: Change Intelligence (Semantic Risk Comparator)</w:t>
      </w:r>
      <w:r w:rsidRPr="00457CB9">
        <w:rPr>
          <w:b/>
          <w:color w:val="0284C7"/>
          <w:szCs w:val="24"/>
        </w:rPr>
        <w:br/>
      </w:r>
      <w:r w:rsidRPr="00457CB9">
        <w:rPr>
          <w:sz w:val="18"/>
          <w:szCs w:val="24"/>
        </w:rPr>
        <w:t>Evaluates commercial balance-sheet risk across 4 key redlines:</w:t>
      </w:r>
      <w:r w:rsidRPr="00457CB9">
        <w:rPr>
          <w:sz w:val="18"/>
          <w:szCs w:val="24"/>
        </w:rPr>
        <w:br/>
        <w:t>• Section 3.1 Inspection Window: Slashed from 30 business days to 7 calendar days (Deemed Acceptance Trap due to 4-6 day Nhava Sheva port customs clearance).</w:t>
      </w:r>
      <w:r w:rsidRPr="00457CB9">
        <w:rPr>
          <w:sz w:val="18"/>
          <w:szCs w:val="24"/>
        </w:rPr>
        <w:br/>
        <w:t>• Section 2.2 Payment Terms: Shifted to 50% advance + 50% against Bill of Lading (100% cash out before destination port testing).</w:t>
      </w:r>
      <w:r w:rsidRPr="00457CB9">
        <w:rPr>
          <w:sz w:val="18"/>
          <w:szCs w:val="24"/>
        </w:rPr>
        <w:br/>
        <w:t>• Section 4.2 Tooling Molds: $12,000 unamortized buyout fee added to release proprietary bottle molds.</w:t>
      </w:r>
      <w:r w:rsidRPr="00457CB9">
        <w:rPr>
          <w:sz w:val="18"/>
          <w:szCs w:val="24"/>
        </w:rPr>
        <w:br/>
        <w:t>• Section 5.2 Auto-Renewal: Mandatory 2-year term lock-in unless 90 days notice given prior to 31 Oct 2027.</w:t>
      </w:r>
    </w:p>
    <w:p w14:paraId="11A3B3E9" w14:textId="77777777" w:rsidR="00C816CD" w:rsidRPr="00457CB9" w:rsidRDefault="00000000">
      <w:pPr>
        <w:rPr>
          <w:sz w:val="24"/>
          <w:szCs w:val="24"/>
        </w:rPr>
      </w:pPr>
      <w:r w:rsidRPr="00457CB9">
        <w:rPr>
          <w:b/>
          <w:color w:val="0284C7"/>
          <w:szCs w:val="24"/>
        </w:rPr>
        <w:t>Module 4: Decision Copilot</w:t>
      </w:r>
      <w:r w:rsidRPr="00457CB9">
        <w:rPr>
          <w:b/>
          <w:color w:val="0284C7"/>
          <w:szCs w:val="24"/>
        </w:rPr>
        <w:br/>
      </w:r>
      <w:r w:rsidRPr="00457CB9">
        <w:rPr>
          <w:sz w:val="18"/>
          <w:szCs w:val="24"/>
        </w:rPr>
        <w:t>• Structured Schema Answering: Inference restricted to verified AST nodes and contract clauses (Sections 2.2, 3.1, 4.2, 5.2). Zero open-ended legal advice.</w:t>
      </w:r>
      <w:r w:rsidRPr="00457CB9">
        <w:rPr>
          <w:sz w:val="18"/>
          <w:szCs w:val="24"/>
        </w:rPr>
        <w:br/>
        <w:t>• 1-Click Executive Chips: 'What can cost us money under the revised terms?', 'What happens if lab testing takes 8 days?' (explains deemed acceptance consequence), and 'Which items require human review and escalation?'</w:t>
      </w:r>
    </w:p>
    <w:p w14:paraId="5039A7D1" w14:textId="77777777" w:rsidR="00C816CD" w:rsidRPr="00457CB9" w:rsidRDefault="00000000">
      <w:pPr>
        <w:rPr>
          <w:sz w:val="24"/>
          <w:szCs w:val="24"/>
        </w:rPr>
      </w:pPr>
      <w:r w:rsidRPr="00457CB9">
        <w:rPr>
          <w:b/>
          <w:color w:val="0284C7"/>
          <w:szCs w:val="24"/>
        </w:rPr>
        <w:t>Module 5: Operational Assurance Console</w:t>
      </w:r>
      <w:r w:rsidRPr="00457CB9">
        <w:rPr>
          <w:b/>
          <w:color w:val="0284C7"/>
          <w:szCs w:val="24"/>
        </w:rPr>
        <w:br/>
      </w:r>
      <w:r w:rsidRPr="00457CB9">
        <w:rPr>
          <w:sz w:val="18"/>
          <w:szCs w:val="24"/>
        </w:rPr>
        <w:t>• Trust Architecture Metrics: 100% Evidence Grounding Ratio, 2 Human Review Gates, 3.4s Latency, Rs 3.20 ($0.038 USD) Unit Cost.</w:t>
      </w:r>
      <w:r w:rsidRPr="00457CB9">
        <w:rPr>
          <w:sz w:val="18"/>
          <w:szCs w:val="24"/>
        </w:rPr>
        <w:br/>
        <w:t>• Dual-Mode Evidence Ledger: Audit Feed (SHA-256 hash trace, substring grounding, date math) and Review Gates (Commercial Action Gate PASSED; Dispute Interpretation Gate RETAINED for Hong Kong HKIAC arbitration).</w:t>
      </w:r>
    </w:p>
    <w:p w14:paraId="166F03ED" w14:textId="77777777" w:rsidR="00457CB9" w:rsidRDefault="00457CB9">
      <w:pPr>
        <w:rPr>
          <w:rFonts w:asciiTheme="majorHAnsi" w:eastAsiaTheme="majorEastAsia" w:hAnsiTheme="majorHAnsi" w:cstheme="majorBidi"/>
          <w:b/>
          <w:bCs/>
          <w:color w:val="0F172A"/>
          <w:sz w:val="32"/>
          <w:szCs w:val="32"/>
        </w:rPr>
      </w:pPr>
      <w:r>
        <w:rPr>
          <w:color w:val="0F172A"/>
          <w:sz w:val="32"/>
          <w:szCs w:val="32"/>
        </w:rPr>
        <w:br w:type="page"/>
      </w:r>
    </w:p>
    <w:p w14:paraId="4EE7E347" w14:textId="2DD318E6" w:rsidR="00C816CD" w:rsidRPr="00457CB9" w:rsidRDefault="00000000">
      <w:pPr>
        <w:pStyle w:val="Heading1"/>
        <w:rPr>
          <w:sz w:val="32"/>
          <w:szCs w:val="32"/>
        </w:rPr>
      </w:pPr>
      <w:r w:rsidRPr="00457CB9">
        <w:rPr>
          <w:color w:val="0F172A"/>
          <w:sz w:val="32"/>
          <w:szCs w:val="32"/>
        </w:rPr>
        <w:lastRenderedPageBreak/>
        <w:t>5. Edge Cases, Failure Modes &amp; Graceful Degradation</w:t>
      </w:r>
    </w:p>
    <w:tbl>
      <w:tblPr>
        <w:tblW w:w="0" w:type="auto"/>
        <w:jc w:val="center"/>
        <w:tblLook w:val="04A0" w:firstRow="1" w:lastRow="0" w:firstColumn="1" w:lastColumn="0" w:noHBand="0" w:noVBand="1"/>
      </w:tblPr>
      <w:tblGrid>
        <w:gridCol w:w="3168"/>
        <w:gridCol w:w="3456"/>
        <w:gridCol w:w="3456"/>
      </w:tblGrid>
      <w:tr w:rsidR="00C816CD" w:rsidRPr="00457CB9" w14:paraId="406FFF69" w14:textId="77777777">
        <w:trPr>
          <w:jc w:val="center"/>
        </w:trPr>
        <w:tc>
          <w:tcPr>
            <w:tcW w:w="3168" w:type="dxa"/>
            <w:shd w:val="clear" w:color="auto" w:fill="0F172A"/>
            <w:tcMar>
              <w:top w:w="100" w:type="dxa"/>
              <w:left w:w="140" w:type="dxa"/>
              <w:bottom w:w="100" w:type="dxa"/>
              <w:right w:w="140" w:type="dxa"/>
            </w:tcMar>
          </w:tcPr>
          <w:p w14:paraId="3106F947" w14:textId="77777777" w:rsidR="00C816CD" w:rsidRPr="00457CB9" w:rsidRDefault="00000000">
            <w:pPr>
              <w:rPr>
                <w:sz w:val="24"/>
                <w:szCs w:val="24"/>
              </w:rPr>
            </w:pPr>
            <w:r w:rsidRPr="00457CB9">
              <w:rPr>
                <w:b/>
                <w:color w:val="FFFFFF"/>
                <w:sz w:val="18"/>
                <w:szCs w:val="24"/>
              </w:rPr>
              <w:t>Failure / Edge Scenario</w:t>
            </w:r>
          </w:p>
        </w:tc>
        <w:tc>
          <w:tcPr>
            <w:tcW w:w="3456" w:type="dxa"/>
            <w:shd w:val="clear" w:color="auto" w:fill="0F172A"/>
            <w:tcMar>
              <w:top w:w="100" w:type="dxa"/>
              <w:left w:w="140" w:type="dxa"/>
              <w:bottom w:w="100" w:type="dxa"/>
              <w:right w:w="140" w:type="dxa"/>
            </w:tcMar>
          </w:tcPr>
          <w:p w14:paraId="7395F481" w14:textId="77777777" w:rsidR="00C816CD" w:rsidRPr="00457CB9" w:rsidRDefault="00000000">
            <w:pPr>
              <w:rPr>
                <w:sz w:val="24"/>
                <w:szCs w:val="24"/>
              </w:rPr>
            </w:pPr>
            <w:r w:rsidRPr="00457CB9">
              <w:rPr>
                <w:b/>
                <w:color w:val="FFFFFF"/>
                <w:sz w:val="18"/>
                <w:szCs w:val="24"/>
              </w:rPr>
              <w:t>Detection Mechanism</w:t>
            </w:r>
          </w:p>
        </w:tc>
        <w:tc>
          <w:tcPr>
            <w:tcW w:w="3456" w:type="dxa"/>
            <w:shd w:val="clear" w:color="auto" w:fill="0F172A"/>
            <w:tcMar>
              <w:top w:w="100" w:type="dxa"/>
              <w:left w:w="140" w:type="dxa"/>
              <w:bottom w:w="100" w:type="dxa"/>
              <w:right w:w="140" w:type="dxa"/>
            </w:tcMar>
          </w:tcPr>
          <w:p w14:paraId="5AD1DF4A" w14:textId="77777777" w:rsidR="00C816CD" w:rsidRPr="00457CB9" w:rsidRDefault="00000000">
            <w:pPr>
              <w:rPr>
                <w:sz w:val="24"/>
                <w:szCs w:val="24"/>
              </w:rPr>
            </w:pPr>
            <w:r w:rsidRPr="00457CB9">
              <w:rPr>
                <w:b/>
                <w:color w:val="FFFFFF"/>
                <w:sz w:val="18"/>
                <w:szCs w:val="24"/>
              </w:rPr>
              <w:t>Graceful Degradation Action</w:t>
            </w:r>
          </w:p>
        </w:tc>
      </w:tr>
      <w:tr w:rsidR="00C816CD" w:rsidRPr="00457CB9" w14:paraId="7C6CF54B" w14:textId="77777777">
        <w:trPr>
          <w:jc w:val="center"/>
        </w:trPr>
        <w:tc>
          <w:tcPr>
            <w:tcW w:w="3168" w:type="dxa"/>
            <w:shd w:val="clear" w:color="auto" w:fill="FFFFFF"/>
            <w:tcMar>
              <w:top w:w="100" w:type="dxa"/>
              <w:left w:w="140" w:type="dxa"/>
              <w:bottom w:w="100" w:type="dxa"/>
              <w:right w:w="140" w:type="dxa"/>
            </w:tcMar>
          </w:tcPr>
          <w:p w14:paraId="23A63DB5" w14:textId="77777777" w:rsidR="00C816CD" w:rsidRPr="00457CB9" w:rsidRDefault="00000000">
            <w:pPr>
              <w:rPr>
                <w:sz w:val="24"/>
                <w:szCs w:val="24"/>
              </w:rPr>
            </w:pPr>
            <w:r w:rsidRPr="00457CB9">
              <w:rPr>
                <w:b/>
                <w:sz w:val="18"/>
                <w:szCs w:val="24"/>
              </w:rPr>
              <w:t>Ambiguous Notice Windows (e.g., 'reasonable commercial notice')</w:t>
            </w:r>
          </w:p>
        </w:tc>
        <w:tc>
          <w:tcPr>
            <w:tcW w:w="3456" w:type="dxa"/>
            <w:shd w:val="clear" w:color="auto" w:fill="FFFFFF"/>
            <w:tcMar>
              <w:top w:w="100" w:type="dxa"/>
              <w:left w:w="140" w:type="dxa"/>
              <w:bottom w:w="100" w:type="dxa"/>
              <w:right w:w="140" w:type="dxa"/>
            </w:tcMar>
          </w:tcPr>
          <w:p w14:paraId="3B9A0512" w14:textId="77777777" w:rsidR="00C816CD" w:rsidRPr="00457CB9" w:rsidRDefault="00000000">
            <w:pPr>
              <w:rPr>
                <w:sz w:val="24"/>
                <w:szCs w:val="24"/>
              </w:rPr>
            </w:pPr>
            <w:r w:rsidRPr="00457CB9">
              <w:rPr>
                <w:sz w:val="18"/>
                <w:szCs w:val="24"/>
              </w:rPr>
              <w:t>Temporal regex &amp; AST timestamp parser fail.</w:t>
            </w:r>
          </w:p>
        </w:tc>
        <w:tc>
          <w:tcPr>
            <w:tcW w:w="3456" w:type="dxa"/>
            <w:shd w:val="clear" w:color="auto" w:fill="FFFFFF"/>
            <w:tcMar>
              <w:top w:w="100" w:type="dxa"/>
              <w:left w:w="140" w:type="dxa"/>
              <w:bottom w:w="100" w:type="dxa"/>
              <w:right w:w="140" w:type="dxa"/>
            </w:tcMar>
          </w:tcPr>
          <w:p w14:paraId="1EC165D9" w14:textId="77777777" w:rsidR="00C816CD" w:rsidRPr="00457CB9" w:rsidRDefault="00000000">
            <w:pPr>
              <w:rPr>
                <w:sz w:val="24"/>
                <w:szCs w:val="24"/>
              </w:rPr>
            </w:pPr>
            <w:r w:rsidRPr="00457CB9">
              <w:rPr>
                <w:sz w:val="18"/>
                <w:szCs w:val="24"/>
              </w:rPr>
              <w:t>Flags commitment as 'MANUAL_DATE_REQUIRED'; pauses autonomous calendar calculations.</w:t>
            </w:r>
          </w:p>
        </w:tc>
      </w:tr>
      <w:tr w:rsidR="00C816CD" w:rsidRPr="00457CB9" w14:paraId="4193DFF6" w14:textId="77777777">
        <w:trPr>
          <w:jc w:val="center"/>
        </w:trPr>
        <w:tc>
          <w:tcPr>
            <w:tcW w:w="3168" w:type="dxa"/>
            <w:shd w:val="clear" w:color="auto" w:fill="F8FAFC"/>
            <w:tcMar>
              <w:top w:w="100" w:type="dxa"/>
              <w:left w:w="140" w:type="dxa"/>
              <w:bottom w:w="100" w:type="dxa"/>
              <w:right w:w="140" w:type="dxa"/>
            </w:tcMar>
          </w:tcPr>
          <w:p w14:paraId="7B0B38AD" w14:textId="77777777" w:rsidR="00C816CD" w:rsidRPr="00457CB9" w:rsidRDefault="00000000">
            <w:pPr>
              <w:rPr>
                <w:sz w:val="24"/>
                <w:szCs w:val="24"/>
              </w:rPr>
            </w:pPr>
            <w:r w:rsidRPr="00457CB9">
              <w:rPr>
                <w:b/>
                <w:sz w:val="18"/>
                <w:szCs w:val="24"/>
              </w:rPr>
              <w:t>Grounding Substring Mismatch (Hallucination risk)</w:t>
            </w:r>
          </w:p>
        </w:tc>
        <w:tc>
          <w:tcPr>
            <w:tcW w:w="3456" w:type="dxa"/>
            <w:shd w:val="clear" w:color="auto" w:fill="F8FAFC"/>
            <w:tcMar>
              <w:top w:w="100" w:type="dxa"/>
              <w:left w:w="140" w:type="dxa"/>
              <w:bottom w:w="100" w:type="dxa"/>
              <w:right w:w="140" w:type="dxa"/>
            </w:tcMar>
          </w:tcPr>
          <w:p w14:paraId="788A3D8E" w14:textId="77777777" w:rsidR="00C816CD" w:rsidRPr="00457CB9" w:rsidRDefault="00000000">
            <w:pPr>
              <w:rPr>
                <w:sz w:val="24"/>
                <w:szCs w:val="24"/>
              </w:rPr>
            </w:pPr>
            <w:r w:rsidRPr="00457CB9">
              <w:rPr>
                <w:sz w:val="18"/>
                <w:szCs w:val="24"/>
              </w:rPr>
              <w:t>Substring anchor score &lt; 0.90 against raw document hash.</w:t>
            </w:r>
          </w:p>
        </w:tc>
        <w:tc>
          <w:tcPr>
            <w:tcW w:w="3456" w:type="dxa"/>
            <w:shd w:val="clear" w:color="auto" w:fill="F8FAFC"/>
            <w:tcMar>
              <w:top w:w="100" w:type="dxa"/>
              <w:left w:w="140" w:type="dxa"/>
              <w:bottom w:w="100" w:type="dxa"/>
              <w:right w:w="140" w:type="dxa"/>
            </w:tcMar>
          </w:tcPr>
          <w:p w14:paraId="6A686266" w14:textId="77777777" w:rsidR="00C816CD" w:rsidRPr="00457CB9" w:rsidRDefault="00000000">
            <w:pPr>
              <w:rPr>
                <w:sz w:val="24"/>
                <w:szCs w:val="24"/>
              </w:rPr>
            </w:pPr>
            <w:r w:rsidRPr="00457CB9">
              <w:rPr>
                <w:sz w:val="18"/>
                <w:szCs w:val="24"/>
              </w:rPr>
              <w:t>Immediately suppresses assertion; registers Abstention record in audit feed.</w:t>
            </w:r>
          </w:p>
        </w:tc>
      </w:tr>
      <w:tr w:rsidR="00C816CD" w:rsidRPr="00457CB9" w14:paraId="401B6158" w14:textId="77777777">
        <w:trPr>
          <w:jc w:val="center"/>
        </w:trPr>
        <w:tc>
          <w:tcPr>
            <w:tcW w:w="3168" w:type="dxa"/>
            <w:shd w:val="clear" w:color="auto" w:fill="FFFFFF"/>
            <w:tcMar>
              <w:top w:w="100" w:type="dxa"/>
              <w:left w:w="140" w:type="dxa"/>
              <w:bottom w:w="100" w:type="dxa"/>
              <w:right w:w="140" w:type="dxa"/>
            </w:tcMar>
          </w:tcPr>
          <w:p w14:paraId="6103B256" w14:textId="77777777" w:rsidR="00C816CD" w:rsidRPr="00457CB9" w:rsidRDefault="00000000">
            <w:pPr>
              <w:rPr>
                <w:sz w:val="24"/>
                <w:szCs w:val="24"/>
              </w:rPr>
            </w:pPr>
            <w:r w:rsidRPr="00457CB9">
              <w:rPr>
                <w:b/>
                <w:sz w:val="18"/>
                <w:szCs w:val="24"/>
              </w:rPr>
              <w:t>Foreign Dispute Jurisdiction (e.g., Hong Kong HKIAC)</w:t>
            </w:r>
          </w:p>
        </w:tc>
        <w:tc>
          <w:tcPr>
            <w:tcW w:w="3456" w:type="dxa"/>
            <w:shd w:val="clear" w:color="auto" w:fill="FFFFFF"/>
            <w:tcMar>
              <w:top w:w="100" w:type="dxa"/>
              <w:left w:w="140" w:type="dxa"/>
              <w:bottom w:w="100" w:type="dxa"/>
              <w:right w:w="140" w:type="dxa"/>
            </w:tcMar>
          </w:tcPr>
          <w:p w14:paraId="65DD8281" w14:textId="77777777" w:rsidR="00C816CD" w:rsidRPr="00457CB9" w:rsidRDefault="00000000">
            <w:pPr>
              <w:rPr>
                <w:sz w:val="24"/>
                <w:szCs w:val="24"/>
              </w:rPr>
            </w:pPr>
            <w:r w:rsidRPr="00457CB9">
              <w:rPr>
                <w:sz w:val="18"/>
                <w:szCs w:val="24"/>
              </w:rPr>
              <w:t>Named entity parser flags foreign arbitral body.</w:t>
            </w:r>
          </w:p>
        </w:tc>
        <w:tc>
          <w:tcPr>
            <w:tcW w:w="3456" w:type="dxa"/>
            <w:shd w:val="clear" w:color="auto" w:fill="FFFFFF"/>
            <w:tcMar>
              <w:top w:w="100" w:type="dxa"/>
              <w:left w:w="140" w:type="dxa"/>
              <w:bottom w:w="100" w:type="dxa"/>
              <w:right w:w="140" w:type="dxa"/>
            </w:tcMar>
          </w:tcPr>
          <w:p w14:paraId="7DE472F7" w14:textId="77777777" w:rsidR="00C816CD" w:rsidRPr="00457CB9" w:rsidRDefault="00000000">
            <w:pPr>
              <w:rPr>
                <w:sz w:val="24"/>
                <w:szCs w:val="24"/>
              </w:rPr>
            </w:pPr>
            <w:r w:rsidRPr="00457CB9">
              <w:rPr>
                <w:sz w:val="18"/>
                <w:szCs w:val="24"/>
              </w:rPr>
              <w:t>Triggers HKIAC Abstention Protocol; routes directly to Legal Review Gate.</w:t>
            </w:r>
          </w:p>
        </w:tc>
      </w:tr>
      <w:tr w:rsidR="00C816CD" w:rsidRPr="00457CB9" w14:paraId="4718F1C6" w14:textId="77777777">
        <w:trPr>
          <w:jc w:val="center"/>
        </w:trPr>
        <w:tc>
          <w:tcPr>
            <w:tcW w:w="3168" w:type="dxa"/>
            <w:shd w:val="clear" w:color="auto" w:fill="F8FAFC"/>
            <w:tcMar>
              <w:top w:w="100" w:type="dxa"/>
              <w:left w:w="140" w:type="dxa"/>
              <w:bottom w:w="100" w:type="dxa"/>
              <w:right w:w="140" w:type="dxa"/>
            </w:tcMar>
          </w:tcPr>
          <w:p w14:paraId="7572514B" w14:textId="77777777" w:rsidR="00C816CD" w:rsidRPr="00457CB9" w:rsidRDefault="00000000">
            <w:pPr>
              <w:rPr>
                <w:sz w:val="24"/>
                <w:szCs w:val="24"/>
              </w:rPr>
            </w:pPr>
            <w:r w:rsidRPr="00457CB9">
              <w:rPr>
                <w:b/>
                <w:sz w:val="18"/>
                <w:szCs w:val="24"/>
              </w:rPr>
              <w:t>Degraded Document OCR (Illegible scanned artifacts)</w:t>
            </w:r>
          </w:p>
        </w:tc>
        <w:tc>
          <w:tcPr>
            <w:tcW w:w="3456" w:type="dxa"/>
            <w:shd w:val="clear" w:color="auto" w:fill="F8FAFC"/>
            <w:tcMar>
              <w:top w:w="100" w:type="dxa"/>
              <w:left w:w="140" w:type="dxa"/>
              <w:bottom w:w="100" w:type="dxa"/>
              <w:right w:w="140" w:type="dxa"/>
            </w:tcMar>
          </w:tcPr>
          <w:p w14:paraId="3DA5B2C4" w14:textId="77777777" w:rsidR="00C816CD" w:rsidRPr="00457CB9" w:rsidRDefault="00000000">
            <w:pPr>
              <w:rPr>
                <w:sz w:val="24"/>
                <w:szCs w:val="24"/>
              </w:rPr>
            </w:pPr>
            <w:r w:rsidRPr="00457CB9">
              <w:rPr>
                <w:sz w:val="18"/>
                <w:szCs w:val="24"/>
              </w:rPr>
              <w:t>Character entropy check fails; AST returns &lt; 3 clauses.</w:t>
            </w:r>
          </w:p>
        </w:tc>
        <w:tc>
          <w:tcPr>
            <w:tcW w:w="3456" w:type="dxa"/>
            <w:shd w:val="clear" w:color="auto" w:fill="F8FAFC"/>
            <w:tcMar>
              <w:top w:w="100" w:type="dxa"/>
              <w:left w:w="140" w:type="dxa"/>
              <w:bottom w:w="100" w:type="dxa"/>
              <w:right w:w="140" w:type="dxa"/>
            </w:tcMar>
          </w:tcPr>
          <w:p w14:paraId="18C7E13F" w14:textId="77777777" w:rsidR="00C816CD" w:rsidRPr="00457CB9" w:rsidRDefault="00000000">
            <w:pPr>
              <w:rPr>
                <w:sz w:val="24"/>
                <w:szCs w:val="24"/>
              </w:rPr>
            </w:pPr>
            <w:r w:rsidRPr="00457CB9">
              <w:rPr>
                <w:sz w:val="18"/>
                <w:szCs w:val="24"/>
              </w:rPr>
              <w:t>Rejects document ingestion; prompts operator for clean digital upload.</w:t>
            </w:r>
          </w:p>
        </w:tc>
      </w:tr>
    </w:tbl>
    <w:p w14:paraId="23000223" w14:textId="77777777" w:rsidR="00C816CD" w:rsidRPr="00457CB9" w:rsidRDefault="00C816CD">
      <w:pPr>
        <w:spacing w:after="120"/>
        <w:rPr>
          <w:sz w:val="24"/>
          <w:szCs w:val="24"/>
        </w:rPr>
      </w:pPr>
    </w:p>
    <w:p w14:paraId="525EBDF3" w14:textId="77777777" w:rsidR="00C816CD" w:rsidRPr="00457CB9" w:rsidRDefault="00000000">
      <w:pPr>
        <w:pStyle w:val="Heading1"/>
        <w:rPr>
          <w:sz w:val="32"/>
          <w:szCs w:val="32"/>
        </w:rPr>
      </w:pPr>
      <w:r w:rsidRPr="00457CB9">
        <w:rPr>
          <w:color w:val="0F172A"/>
          <w:sz w:val="32"/>
          <w:szCs w:val="32"/>
        </w:rPr>
        <w:t>6. Enterprise Security, Privacy &amp; Scope Discipline</w:t>
      </w:r>
    </w:p>
    <w:p w14:paraId="17A9E6D3" w14:textId="77777777" w:rsidR="00C816CD" w:rsidRPr="00457CB9" w:rsidRDefault="00000000">
      <w:pPr>
        <w:rPr>
          <w:sz w:val="24"/>
          <w:szCs w:val="24"/>
        </w:rPr>
      </w:pPr>
      <w:r w:rsidRPr="00457CB9">
        <w:rPr>
          <w:b/>
          <w:sz w:val="24"/>
          <w:szCs w:val="24"/>
        </w:rPr>
        <w:t>Enterprise Security &amp; Privacy:</w:t>
      </w:r>
      <w:r w:rsidRPr="00457CB9">
        <w:rPr>
          <w:b/>
          <w:sz w:val="24"/>
          <w:szCs w:val="24"/>
        </w:rPr>
        <w:br/>
      </w:r>
      <w:r w:rsidRPr="00457CB9">
        <w:rPr>
          <w:sz w:val="24"/>
          <w:szCs w:val="24"/>
        </w:rPr>
        <w:t>• Zero-Data-Retention (ZDR): Contracts are processed in ephemeral memory. Enterprise API endpoints enforce zero model-training data retention.</w:t>
      </w:r>
      <w:r w:rsidRPr="00457CB9">
        <w:rPr>
          <w:sz w:val="24"/>
          <w:szCs w:val="24"/>
        </w:rPr>
        <w:br/>
        <w:t>• Local PII Sanitization: Pre-processing regex masks bank accounts, executive phone numbers, and Tax IDs prior to semantic evaluation.</w:t>
      </w:r>
      <w:r w:rsidRPr="00457CB9">
        <w:rPr>
          <w:sz w:val="24"/>
          <w:szCs w:val="24"/>
        </w:rPr>
        <w:br/>
        <w:t>• Regulatory Compliance: Architected in compliance with India DPDP Act 2023 and EU GDPR Article 28 data processor standards.</w:t>
      </w:r>
      <w:r w:rsidRPr="00457CB9">
        <w:rPr>
          <w:sz w:val="24"/>
          <w:szCs w:val="24"/>
        </w:rPr>
        <w:br/>
      </w:r>
      <w:r w:rsidRPr="00457CB9">
        <w:rPr>
          <w:sz w:val="24"/>
          <w:szCs w:val="24"/>
        </w:rPr>
        <w:br/>
      </w:r>
      <w:r w:rsidRPr="00457CB9">
        <w:rPr>
          <w:b/>
          <w:sz w:val="24"/>
          <w:szCs w:val="24"/>
        </w:rPr>
        <w:t>Scope Boundaries (MoSCoW Framework):</w:t>
      </w:r>
      <w:r w:rsidRPr="00457CB9">
        <w:rPr>
          <w:b/>
          <w:sz w:val="24"/>
          <w:szCs w:val="24"/>
        </w:rPr>
        <w:br/>
      </w:r>
      <w:r w:rsidRPr="00457CB9">
        <w:rPr>
          <w:sz w:val="24"/>
          <w:szCs w:val="24"/>
        </w:rPr>
        <w:t>• Must Have (P0 - Delivered): Executive Command Center, Commitment Register with Evidence Drawers, Deterministic Temporal Engine, Change Intelligence Comparator, Grounded Copilot, Operational Assurance Console with Audit Trace, 1-Click Export Brief.</w:t>
      </w:r>
      <w:r w:rsidRPr="00457CB9">
        <w:rPr>
          <w:sz w:val="24"/>
          <w:szCs w:val="24"/>
        </w:rPr>
        <w:br/>
        <w:t>• Should Have (P1 - Fast Follow): Multi-contract portfolio cross-filtering, automated native Google/Outlook Calendar (.ics) dispatches.</w:t>
      </w:r>
      <w:r w:rsidRPr="00457CB9">
        <w:rPr>
          <w:sz w:val="24"/>
          <w:szCs w:val="24"/>
        </w:rPr>
        <w:br/>
        <w:t>• Won't Have (Out of Scope): In-app electronic signatures (no DocuSign competition); Word/Docs WYSIWYG redline editors.</w:t>
      </w:r>
    </w:p>
    <w:p w14:paraId="6C08F46E" w14:textId="77777777" w:rsidR="00C816CD" w:rsidRPr="00457CB9" w:rsidRDefault="00000000">
      <w:pPr>
        <w:pStyle w:val="Heading1"/>
        <w:rPr>
          <w:sz w:val="32"/>
          <w:szCs w:val="32"/>
        </w:rPr>
      </w:pPr>
      <w:r w:rsidRPr="00457CB9">
        <w:rPr>
          <w:color w:val="0F172A"/>
          <w:sz w:val="32"/>
          <w:szCs w:val="32"/>
        </w:rPr>
        <w:t>7. Automated Verification &amp; Test Suite Plan</w:t>
      </w:r>
    </w:p>
    <w:p w14:paraId="2E96209D" w14:textId="77777777" w:rsidR="00C816CD" w:rsidRPr="00457CB9" w:rsidRDefault="00000000">
      <w:pPr>
        <w:rPr>
          <w:sz w:val="24"/>
          <w:szCs w:val="24"/>
        </w:rPr>
      </w:pPr>
      <w:r w:rsidRPr="00457CB9">
        <w:rPr>
          <w:b/>
          <w:sz w:val="24"/>
          <w:szCs w:val="24"/>
        </w:rPr>
        <w:t>Production deployments must pass these automated pytest suites before container build:</w:t>
      </w:r>
      <w:r w:rsidRPr="00457CB9">
        <w:rPr>
          <w:b/>
          <w:sz w:val="24"/>
          <w:szCs w:val="24"/>
        </w:rPr>
        <w:br/>
      </w:r>
      <w:r w:rsidRPr="00457CB9">
        <w:rPr>
          <w:sz w:val="24"/>
          <w:szCs w:val="24"/>
        </w:rPr>
        <w:t>• test_deterministic_dates.py: Verifies calculate_notice_date('2027-10-31', offset_days=90) strictly returns '2027-08-02' with 0 leap-year drift.</w:t>
      </w:r>
      <w:r w:rsidRPr="00457CB9">
        <w:rPr>
          <w:sz w:val="24"/>
          <w:szCs w:val="24"/>
        </w:rPr>
        <w:br/>
        <w:t xml:space="preserve">• test_verbatim_grounding.py: Asserts that 100% of extracted commitments match exact character </w:t>
      </w:r>
      <w:r w:rsidRPr="00457CB9">
        <w:rPr>
          <w:sz w:val="24"/>
          <w:szCs w:val="24"/>
        </w:rPr>
        <w:lastRenderedPageBreak/>
        <w:t>spans in the uploaded contract hash.</w:t>
      </w:r>
      <w:r w:rsidRPr="00457CB9">
        <w:rPr>
          <w:sz w:val="24"/>
          <w:szCs w:val="24"/>
        </w:rPr>
        <w:br/>
        <w:t>• test_abstention_policy.py: Confirms that encountering 'HKIAC' flags the Dispute Gate as RETAINED and halts autonomous resolution.</w:t>
      </w:r>
      <w:r w:rsidRPr="00457CB9">
        <w:rPr>
          <w:sz w:val="24"/>
          <w:szCs w:val="24"/>
        </w:rPr>
        <w:br/>
        <w:t>• test_hitl_action_dispatch.py: Confirms that 'Acknowledge Control' dispatches an audit record without modifying original agreement text.</w:t>
      </w:r>
    </w:p>
    <w:sectPr w:rsidR="00C816CD" w:rsidRPr="00457CB9"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9091813">
    <w:abstractNumId w:val="8"/>
  </w:num>
  <w:num w:numId="2" w16cid:durableId="95102641">
    <w:abstractNumId w:val="6"/>
  </w:num>
  <w:num w:numId="3" w16cid:durableId="255527803">
    <w:abstractNumId w:val="5"/>
  </w:num>
  <w:num w:numId="4" w16cid:durableId="610867480">
    <w:abstractNumId w:val="4"/>
  </w:num>
  <w:num w:numId="5" w16cid:durableId="84809541">
    <w:abstractNumId w:val="7"/>
  </w:num>
  <w:num w:numId="6" w16cid:durableId="480006824">
    <w:abstractNumId w:val="3"/>
  </w:num>
  <w:num w:numId="7" w16cid:durableId="1140537082">
    <w:abstractNumId w:val="2"/>
  </w:num>
  <w:num w:numId="8" w16cid:durableId="716127035">
    <w:abstractNumId w:val="1"/>
  </w:num>
  <w:num w:numId="9" w16cid:durableId="1292248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7CB9"/>
    <w:rsid w:val="00580009"/>
    <w:rsid w:val="00AA1D8D"/>
    <w:rsid w:val="00B47730"/>
    <w:rsid w:val="00C816C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3102F"/>
  <w14:defaultImageDpi w14:val="300"/>
  <w15:docId w15:val="{E3141440-F3D9-4A2A-AED3-7065AECE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1284</Words>
  <Characters>7324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Jain</cp:lastModifiedBy>
  <cp:revision>3</cp:revision>
  <dcterms:created xsi:type="dcterms:W3CDTF">2013-12-23T23:15:00Z</dcterms:created>
  <dcterms:modified xsi:type="dcterms:W3CDTF">2026-09-20T19:07:00Z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e8216a8e-bfbb-4515-85bb-31a8603595dd</vt:lpwstr>
  </property>
</Properties>
</file>