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2"/>
        </w:rPr>
        <w:t>CYBERSECURITY RESEARCH NOTES</w:t>
      </w:r>
    </w:p>
    <w:p>
      <w:pPr>
        <w:jc w:val="center"/>
      </w:pPr>
      <w:r>
        <w:rPr>
          <w:i/>
          <w:sz w:val="22"/>
        </w:rPr>
        <w:t>Website Cybersecurity Risk Assessment | ABC Online Services</w:t>
      </w:r>
    </w:p>
    <w:p>
      <w:r>
        <w:t>Prepared for: Cybersecurity Internship Project</w:t>
      </w:r>
    </w:p>
    <w:p>
      <w:r>
        <w:t>Research date: 13 October 2026</w:t>
      </w:r>
    </w:p>
    <w:p>
      <w:r>
        <w:t>Assessment basis: Representative website scenario; assumptions are documented and no real system has been tested.</w:t>
      </w:r>
    </w:p>
    <w:p>
      <w:pPr>
        <w:pStyle w:val="Heading1"/>
      </w:pPr>
      <w:r>
        <w:t>1. Purpose of the Research</w:t>
      </w:r>
    </w:p>
    <w:p>
      <w:r>
        <w:t>The purpose of this research is to identify credible guidance for assessing cybersecurity risks in a customer-facing website environment. The research supports the selection of risk categories, the design of the assessment method and the recommendation of risk treatments. It is not evidence that any vulnerability exists in a particular live website.</w:t>
      </w:r>
    </w:p>
    <w:p>
      <w:pPr>
        <w:pStyle w:val="Heading1"/>
      </w:pPr>
      <w:r>
        <w:t>2. Source 1: NIST Cybersecurity Framework (CSF) 2.0</w:t>
      </w:r>
    </w:p>
    <w:p>
      <w:r>
        <w:t>Official source: https://www.nist.gov/cyberframework</w:t>
      </w:r>
    </w:p>
    <w:p>
      <w:r>
        <w:t>Supporting NIST overview: https://nvlpubs.nist.gov/nistpubs/SpecialPublications/NIST.SP.1299.pdf</w:t>
      </w:r>
    </w:p>
    <w:p>
      <w:r>
        <w:t>Research summary: NIST CSF 2.0 helps organisations understand, assess, prioritise and communicate cybersecurity risks. Its Core organises cybersecurity outcomes into six Functions: Govern, Identify, Protect, Detect, Respond and Recover. The framework describes outcomes rather than prescribing one fixed implementation method, so organisations can adapt it to their size, context and needs.</w:t>
      </w:r>
    </w:p>
    <w:p>
      <w:r>
        <w:t>Application to this project:</w:t>
      </w:r>
    </w:p>
    <w:p>
      <w:pPr>
        <w:pStyle w:val="ListBullet"/>
      </w:pPr>
      <w:r>
        <w:t>Govern: define assessment scope, assumptions, roles and risk-treatment responsibilities.</w:t>
      </w:r>
    </w:p>
    <w:p>
      <w:pPr>
        <w:pStyle w:val="ListBullet"/>
      </w:pPr>
      <w:r>
        <w:t>Identify: list website assets, information, dependencies and plausible risk scenarios.</w:t>
      </w:r>
    </w:p>
    <w:p>
      <w:pPr>
        <w:pStyle w:val="ListBullet"/>
      </w:pPr>
      <w:r>
        <w:t>Protect: recommend preventive measures such as strong access controls, secure development and data protection.</w:t>
      </w:r>
    </w:p>
    <w:p>
      <w:pPr>
        <w:pStyle w:val="ListBullet"/>
      </w:pPr>
      <w:r>
        <w:t>Detect: consider security logging, monitoring and alerting.</w:t>
      </w:r>
    </w:p>
    <w:p>
      <w:pPr>
        <w:pStyle w:val="ListBullet"/>
      </w:pPr>
      <w:r>
        <w:t>Respond: recommend clear incident handling and escalation responsibilities.</w:t>
      </w:r>
    </w:p>
    <w:p>
      <w:pPr>
        <w:pStyle w:val="ListBullet"/>
      </w:pPr>
      <w:r>
        <w:t>Recover: consider backups, restoration testing and continuity planning.</w:t>
      </w:r>
    </w:p>
    <w:p>
      <w:r>
        <w:t>Important limitation: NIST CSF 2.0 does not prescribe the project's 1–5 likelihood/impact scale or the proposed Low/Medium/High/Critical score bands. Those will be project-defined criteria documented separately in the risk-register methodology.</w:t>
      </w:r>
    </w:p>
    <w:p>
      <w:pPr>
        <w:pStyle w:val="Heading1"/>
      </w:pPr>
      <w:r>
        <w:t>3. Source 2: OWASP Top 10:2025</w:t>
      </w:r>
    </w:p>
    <w:p>
      <w:r>
        <w:t>Official source: https://owasp.org/www-project-top-ten/</w:t>
      </w:r>
    </w:p>
    <w:p>
      <w:r>
        <w:t>OWASP Top 10:2025 introduction: https://top10.owasp.org/2025/0x00_2025-Introduction/</w:t>
      </w:r>
    </w:p>
    <w:p>
      <w:r>
        <w:t>Research summary: OWASP Top 10:2025 is an awareness document that summarises important web application security risk categories. The 2025 edition includes Broken Access Control, Security Misconfiguration, Software Supply Chain Failures, Cryptographic Failures, Injection, Insecure Design, Authentication Failures, Software or Data Integrity Failures, Security Logging &amp; Alerting Failures, and Mishandling of Exceptional Conditions.</w:t>
      </w:r>
    </w:p>
    <w:p>
      <w:r>
        <w:t>Application to this project:</w:t>
      </w:r>
    </w:p>
    <w:p>
      <w:pPr>
        <w:pStyle w:val="ListBullet"/>
      </w:pPr>
      <w:r>
        <w:t>Broken access control: users may access records or functions outside their permissions.</w:t>
      </w:r>
    </w:p>
    <w:p>
      <w:pPr>
        <w:pStyle w:val="ListBullet"/>
      </w:pPr>
      <w:r>
        <w:t>Security misconfiguration: unsafe defaults, exposed administrative interfaces or unnecessary services may increase exposure.</w:t>
      </w:r>
    </w:p>
    <w:p>
      <w:pPr>
        <w:pStyle w:val="ListBullet"/>
      </w:pPr>
      <w:r>
        <w:t>Software supply-chain failures: compromised or untrusted dependencies and build/distribution processes may introduce risk.</w:t>
      </w:r>
    </w:p>
    <w:p>
      <w:pPr>
        <w:pStyle w:val="ListBullet"/>
      </w:pPr>
      <w:r>
        <w:t>Cryptographic failures: inadequate protection of sensitive data may lead to exposure.</w:t>
      </w:r>
    </w:p>
    <w:p>
      <w:pPr>
        <w:pStyle w:val="ListBullet"/>
      </w:pPr>
      <w:r>
        <w:t>Injection: unsafe handling of untrusted input may cause unintended queries or commands.</w:t>
      </w:r>
    </w:p>
    <w:p>
      <w:pPr>
        <w:pStyle w:val="ListBullet"/>
      </w:pPr>
      <w:r>
        <w:t>Insecure design: missing threat modelling or security requirements may create systemic weaknesses.</w:t>
      </w:r>
    </w:p>
    <w:p>
      <w:pPr>
        <w:pStyle w:val="ListBullet"/>
      </w:pPr>
      <w:r>
        <w:t>Authentication failures: weak account protections may enable account compromise.</w:t>
      </w:r>
    </w:p>
    <w:p>
      <w:pPr>
        <w:pStyle w:val="ListBullet"/>
      </w:pPr>
      <w:r>
        <w:t>Software or data integrity failures: untrusted updates or data changes may undermine system integrity.</w:t>
      </w:r>
    </w:p>
    <w:p>
      <w:pPr>
        <w:pStyle w:val="ListBullet"/>
      </w:pPr>
      <w:r>
        <w:t>Logging and alerting failures: important security events may go undetected or unactioned.</w:t>
      </w:r>
    </w:p>
    <w:p>
      <w:pPr>
        <w:pStyle w:val="ListBullet"/>
      </w:pPr>
      <w:r>
        <w:t>Mishandling of exceptional conditions: errors or abnormal states may cause unsafe behaviour or expose information.</w:t>
      </w:r>
    </w:p>
    <w:p>
      <w:r>
        <w:t>Important limitation: OWASP Top 10 is a risk-awareness resource, not a complete risk register, a guarantee of coverage, or proof that a specific application has these weaknesses. The categories should be adapted to the scenario and supported with explicit assumptions.</w:t>
      </w:r>
    </w:p>
    <w:p>
      <w:pPr>
        <w:pStyle w:val="Heading1"/>
      </w:pPr>
      <w:r>
        <w:t>4. Initial Asset Inventory</w:t>
      </w:r>
    </w:p>
    <w:tbl>
      <w:tblPr>
        <w:tblStyle w:val="LightShading-Accent1"/>
        <w:tblW w:type="auto" w:w="0"/>
        <w:tblLook w:firstColumn="1" w:firstRow="1" w:lastColumn="0" w:lastRow="0" w:noHBand="0" w:noVBand="1" w:val="04A0"/>
      </w:tblPr>
      <w:tblGrid>
        <w:gridCol w:w="3264"/>
        <w:gridCol w:w="3264"/>
        <w:gridCol w:w="3264"/>
      </w:tblGrid>
      <w:tr>
        <w:tc>
          <w:tcPr>
            <w:tcW w:type="dxa" w:w="3264"/>
          </w:tcPr>
          <w:p>
            <w:r>
              <w:t>Asset ID</w:t>
            </w:r>
          </w:p>
        </w:tc>
        <w:tc>
          <w:tcPr>
            <w:tcW w:type="dxa" w:w="3264"/>
          </w:tcPr>
          <w:p>
            <w:r>
              <w:t>Asset</w:t>
            </w:r>
          </w:p>
        </w:tc>
        <w:tc>
          <w:tcPr>
            <w:tcW w:type="dxa" w:w="3264"/>
          </w:tcPr>
          <w:p>
            <w:r>
              <w:t>Security concern</w:t>
            </w:r>
          </w:p>
        </w:tc>
      </w:tr>
      <w:tr>
        <w:tc>
          <w:tcPr>
            <w:tcW w:type="dxa" w:w="3264"/>
          </w:tcPr>
          <w:p>
            <w:r>
              <w:t>AS-01</w:t>
            </w:r>
          </w:p>
        </w:tc>
        <w:tc>
          <w:tcPr>
            <w:tcW w:type="dxa" w:w="3264"/>
          </w:tcPr>
          <w:p>
            <w:r>
              <w:t>Customer account and profile data</w:t>
            </w:r>
          </w:p>
        </w:tc>
        <w:tc>
          <w:tcPr>
            <w:tcW w:type="dxa" w:w="3264"/>
          </w:tcPr>
          <w:p>
            <w:r>
              <w:t>Confidentiality, integrity, privacy</w:t>
            </w:r>
          </w:p>
        </w:tc>
      </w:tr>
      <w:tr>
        <w:tc>
          <w:tcPr>
            <w:tcW w:type="dxa" w:w="3264"/>
          </w:tcPr>
          <w:p>
            <w:r>
              <w:t>AS-02</w:t>
            </w:r>
          </w:p>
        </w:tc>
        <w:tc>
          <w:tcPr>
            <w:tcW w:type="dxa" w:w="3264"/>
          </w:tcPr>
          <w:p>
            <w:r>
              <w:t>Website application and input-handling functions</w:t>
            </w:r>
          </w:p>
        </w:tc>
        <w:tc>
          <w:tcPr>
            <w:tcW w:type="dxa" w:w="3264"/>
          </w:tcPr>
          <w:p>
            <w:r>
              <w:t>Integrity, confidentiality, availability</w:t>
            </w:r>
          </w:p>
        </w:tc>
      </w:tr>
      <w:tr>
        <w:tc>
          <w:tcPr>
            <w:tcW w:type="dxa" w:w="3264"/>
          </w:tcPr>
          <w:p>
            <w:r>
              <w:t>AS-03</w:t>
            </w:r>
          </w:p>
        </w:tc>
        <w:tc>
          <w:tcPr>
            <w:tcW w:type="dxa" w:w="3264"/>
          </w:tcPr>
          <w:p>
            <w:r>
              <w:t>Authentication and session management</w:t>
            </w:r>
          </w:p>
        </w:tc>
        <w:tc>
          <w:tcPr>
            <w:tcW w:type="dxa" w:w="3264"/>
          </w:tcPr>
          <w:p>
            <w:r>
              <w:t>Account security, integrity</w:t>
            </w:r>
          </w:p>
        </w:tc>
      </w:tr>
      <w:tr>
        <w:tc>
          <w:tcPr>
            <w:tcW w:type="dxa" w:w="3264"/>
          </w:tcPr>
          <w:p>
            <w:r>
              <w:t>AS-04</w:t>
            </w:r>
          </w:p>
        </w:tc>
        <w:tc>
          <w:tcPr>
            <w:tcW w:type="dxa" w:w="3264"/>
          </w:tcPr>
          <w:p>
            <w:r>
              <w:t>Administrative portal and privileged accounts</w:t>
            </w:r>
          </w:p>
        </w:tc>
        <w:tc>
          <w:tcPr>
            <w:tcW w:type="dxa" w:w="3264"/>
          </w:tcPr>
          <w:p>
            <w:r>
              <w:t>Privileged access, integrity</w:t>
            </w:r>
          </w:p>
        </w:tc>
      </w:tr>
      <w:tr>
        <w:tc>
          <w:tcPr>
            <w:tcW w:type="dxa" w:w="3264"/>
          </w:tcPr>
          <w:p>
            <w:r>
              <w:t>AS-05</w:t>
            </w:r>
          </w:p>
        </w:tc>
        <w:tc>
          <w:tcPr>
            <w:tcW w:type="dxa" w:w="3264"/>
          </w:tcPr>
          <w:p>
            <w:r>
              <w:t>Database and data storage</w:t>
            </w:r>
          </w:p>
        </w:tc>
        <w:tc>
          <w:tcPr>
            <w:tcW w:type="dxa" w:w="3264"/>
          </w:tcPr>
          <w:p>
            <w:r>
              <w:t>Confidentiality, integrity, availability</w:t>
            </w:r>
          </w:p>
        </w:tc>
      </w:tr>
      <w:tr>
        <w:tc>
          <w:tcPr>
            <w:tcW w:type="dxa" w:w="3264"/>
          </w:tcPr>
          <w:p>
            <w:r>
              <w:t>AS-06</w:t>
            </w:r>
          </w:p>
        </w:tc>
        <w:tc>
          <w:tcPr>
            <w:tcW w:type="dxa" w:w="3264"/>
          </w:tcPr>
          <w:p>
            <w:r>
              <w:t>Third-party libraries and software dependencies</w:t>
            </w:r>
          </w:p>
        </w:tc>
        <w:tc>
          <w:tcPr>
            <w:tcW w:type="dxa" w:w="3264"/>
          </w:tcPr>
          <w:p>
            <w:r>
              <w:t>Software integrity, availability</w:t>
            </w:r>
          </w:p>
        </w:tc>
      </w:tr>
      <w:tr>
        <w:tc>
          <w:tcPr>
            <w:tcW w:type="dxa" w:w="3264"/>
          </w:tcPr>
          <w:p>
            <w:r>
              <w:t>AS-07</w:t>
            </w:r>
          </w:p>
        </w:tc>
        <w:tc>
          <w:tcPr>
            <w:tcW w:type="dxa" w:w="3264"/>
          </w:tcPr>
          <w:p>
            <w:r>
              <w:t>Security logs and alerts</w:t>
            </w:r>
          </w:p>
        </w:tc>
        <w:tc>
          <w:tcPr>
            <w:tcW w:type="dxa" w:w="3264"/>
          </w:tcPr>
          <w:p>
            <w:r>
              <w:t>Detection, investigation, accountability</w:t>
            </w:r>
          </w:p>
        </w:tc>
      </w:tr>
      <w:tr>
        <w:tc>
          <w:tcPr>
            <w:tcW w:type="dxa" w:w="3264"/>
          </w:tcPr>
          <w:p>
            <w:r>
              <w:t>AS-08</w:t>
            </w:r>
          </w:p>
        </w:tc>
        <w:tc>
          <w:tcPr>
            <w:tcW w:type="dxa" w:w="3264"/>
          </w:tcPr>
          <w:p>
            <w:r>
              <w:t>Backups and recovery processes</w:t>
            </w:r>
          </w:p>
        </w:tc>
        <w:tc>
          <w:tcPr>
            <w:tcW w:type="dxa" w:w="3264"/>
          </w:tcPr>
          <w:p>
            <w:r>
              <w:t>Availability, recoverability, integrity</w:t>
            </w:r>
          </w:p>
        </w:tc>
      </w:tr>
    </w:tbl>
    <w:p>
      <w:pPr>
        <w:pStyle w:val="Heading1"/>
      </w:pPr>
      <w:r>
        <w:t>5. Candidate Risk Scenarios for the Register</w:t>
      </w:r>
    </w:p>
    <w:tbl>
      <w:tblPr>
        <w:tblStyle w:val="LightShading-Accent1"/>
        <w:tblW w:type="auto" w:w="0"/>
        <w:tblLook w:firstColumn="1" w:firstRow="1" w:lastColumn="0" w:lastRow="0" w:noHBand="0" w:noVBand="1" w:val="04A0"/>
      </w:tblPr>
      <w:tblGrid>
        <w:gridCol w:w="2448"/>
        <w:gridCol w:w="2448"/>
        <w:gridCol w:w="2448"/>
        <w:gridCol w:w="2448"/>
      </w:tblGrid>
      <w:tr>
        <w:tc>
          <w:tcPr>
            <w:tcW w:type="dxa" w:w="2448"/>
          </w:tcPr>
          <w:p>
            <w:r>
              <w:t>Risk ID</w:t>
            </w:r>
          </w:p>
        </w:tc>
        <w:tc>
          <w:tcPr>
            <w:tcW w:type="dxa" w:w="2448"/>
          </w:tcPr>
          <w:p>
            <w:r>
              <w:t>Category</w:t>
            </w:r>
          </w:p>
        </w:tc>
        <w:tc>
          <w:tcPr>
            <w:tcW w:type="dxa" w:w="2448"/>
          </w:tcPr>
          <w:p>
            <w:r>
              <w:t>Potential scenario</w:t>
            </w:r>
          </w:p>
        </w:tc>
        <w:tc>
          <w:tcPr>
            <w:tcW w:type="dxa" w:w="2448"/>
          </w:tcPr>
          <w:p>
            <w:r>
              <w:t>Possible treatment</w:t>
            </w:r>
          </w:p>
        </w:tc>
      </w:tr>
      <w:tr>
        <w:tc>
          <w:tcPr>
            <w:tcW w:type="dxa" w:w="2448"/>
          </w:tcPr>
          <w:p>
            <w:r>
              <w:t>R01</w:t>
            </w:r>
          </w:p>
        </w:tc>
        <w:tc>
          <w:tcPr>
            <w:tcW w:type="dxa" w:w="2448"/>
          </w:tcPr>
          <w:p>
            <w:r>
              <w:t>Injection</w:t>
            </w:r>
          </w:p>
        </w:tc>
        <w:tc>
          <w:tcPr>
            <w:tcW w:type="dxa" w:w="2448"/>
          </w:tcPr>
          <w:p>
            <w:r>
              <w:t>If input is not safely handled, an attacker could manipulate database queries or other interpreter commands.</w:t>
            </w:r>
          </w:p>
        </w:tc>
        <w:tc>
          <w:tcPr>
            <w:tcW w:type="dxa" w:w="2448"/>
          </w:tcPr>
          <w:p>
            <w:r>
              <w:t>Use parameterised queries, safe APIs, input validation, code review and authorised testing.</w:t>
            </w:r>
          </w:p>
        </w:tc>
      </w:tr>
      <w:tr>
        <w:tc>
          <w:tcPr>
            <w:tcW w:type="dxa" w:w="2448"/>
          </w:tcPr>
          <w:p>
            <w:r>
              <w:t>R02</w:t>
            </w:r>
          </w:p>
        </w:tc>
        <w:tc>
          <w:tcPr>
            <w:tcW w:type="dxa" w:w="2448"/>
          </w:tcPr>
          <w:p>
            <w:r>
              <w:t>Broken access control</w:t>
            </w:r>
          </w:p>
        </w:tc>
        <w:tc>
          <w:tcPr>
            <w:tcW w:type="dxa" w:w="2448"/>
          </w:tcPr>
          <w:p>
            <w:r>
              <w:t>If server-side authorisation checks are missing or inconsistent, users could access other users' records or restricted functions.</w:t>
            </w:r>
          </w:p>
        </w:tc>
        <w:tc>
          <w:tcPr>
            <w:tcW w:type="dxa" w:w="2448"/>
          </w:tcPr>
          <w:p>
            <w:r>
              <w:t>Enforce least privilege and server-side authorisation on every protected operation; test role and object-level access.</w:t>
            </w:r>
          </w:p>
        </w:tc>
      </w:tr>
      <w:tr>
        <w:tc>
          <w:tcPr>
            <w:tcW w:type="dxa" w:w="2448"/>
          </w:tcPr>
          <w:p>
            <w:r>
              <w:t>R03</w:t>
            </w:r>
          </w:p>
        </w:tc>
        <w:tc>
          <w:tcPr>
            <w:tcW w:type="dxa" w:w="2448"/>
          </w:tcPr>
          <w:p>
            <w:r>
              <w:t>Authentication failures</w:t>
            </w:r>
          </w:p>
        </w:tc>
        <w:tc>
          <w:tcPr>
            <w:tcW w:type="dxa" w:w="2448"/>
          </w:tcPr>
          <w:p>
            <w:r>
              <w:t>Weak account protections or session handling could enable account takeover.</w:t>
            </w:r>
          </w:p>
        </w:tc>
        <w:tc>
          <w:tcPr>
            <w:tcW w:type="dxa" w:w="2448"/>
          </w:tcPr>
          <w:p>
            <w:r>
              <w:t>Use secure password handling, rate limiting, multifactor authentication for privileged access, and secure session management.</w:t>
            </w:r>
          </w:p>
        </w:tc>
      </w:tr>
      <w:tr>
        <w:tc>
          <w:tcPr>
            <w:tcW w:type="dxa" w:w="2448"/>
          </w:tcPr>
          <w:p>
            <w:r>
              <w:t>R04</w:t>
            </w:r>
          </w:p>
        </w:tc>
        <w:tc>
          <w:tcPr>
            <w:tcW w:type="dxa" w:w="2448"/>
          </w:tcPr>
          <w:p>
            <w:r>
              <w:t>Security misconfiguration</w:t>
            </w:r>
          </w:p>
        </w:tc>
        <w:tc>
          <w:tcPr>
            <w:tcW w:type="dxa" w:w="2448"/>
          </w:tcPr>
          <w:p>
            <w:r>
              <w:t>Unnecessary services, default settings, exposed debug details or overly permissive configuration could increase attack surface.</w:t>
            </w:r>
          </w:p>
        </w:tc>
        <w:tc>
          <w:tcPr>
            <w:tcW w:type="dxa" w:w="2448"/>
          </w:tcPr>
          <w:p>
            <w:r>
              <w:t>Use hardened baselines, remove defaults and debug settings, restrict administrative access, and review configurations.</w:t>
            </w:r>
          </w:p>
        </w:tc>
      </w:tr>
      <w:tr>
        <w:tc>
          <w:tcPr>
            <w:tcW w:type="dxa" w:w="2448"/>
          </w:tcPr>
          <w:p>
            <w:r>
              <w:t>R05</w:t>
            </w:r>
          </w:p>
        </w:tc>
        <w:tc>
          <w:tcPr>
            <w:tcW w:type="dxa" w:w="2448"/>
          </w:tcPr>
          <w:p>
            <w:r>
              <w:t>Cryptographic failures</w:t>
            </w:r>
          </w:p>
        </w:tc>
        <w:tc>
          <w:tcPr>
            <w:tcW w:type="dxa" w:w="2448"/>
          </w:tcPr>
          <w:p>
            <w:r>
              <w:t>Sensitive data may be exposed if it is not appropriately protected in transit or at rest, or if keys are mishandled.</w:t>
            </w:r>
          </w:p>
        </w:tc>
        <w:tc>
          <w:tcPr>
            <w:tcW w:type="dxa" w:w="2448"/>
          </w:tcPr>
          <w:p>
            <w:r>
              <w:t>Use modern, correctly configured TLS, appropriate encryption where needed, and secure key management.</w:t>
            </w:r>
          </w:p>
        </w:tc>
      </w:tr>
      <w:tr>
        <w:tc>
          <w:tcPr>
            <w:tcW w:type="dxa" w:w="2448"/>
          </w:tcPr>
          <w:p>
            <w:r>
              <w:t>R06</w:t>
            </w:r>
          </w:p>
        </w:tc>
        <w:tc>
          <w:tcPr>
            <w:tcW w:type="dxa" w:w="2448"/>
          </w:tcPr>
          <w:p>
            <w:r>
              <w:t>Software supply-chain failures</w:t>
            </w:r>
          </w:p>
        </w:tc>
        <w:tc>
          <w:tcPr>
            <w:tcW w:type="dxa" w:w="2448"/>
          </w:tcPr>
          <w:p>
            <w:r>
              <w:t>Compromised, unmaintained or untrusted dependencies could introduce vulnerabilities or malicious code.</w:t>
            </w:r>
          </w:p>
        </w:tc>
        <w:tc>
          <w:tcPr>
            <w:tcW w:type="dxa" w:w="2448"/>
          </w:tcPr>
          <w:p>
            <w:r>
              <w:t>Maintain an inventory of dependencies, use trusted sources, review updates, monitor advisories and apply patches.</w:t>
            </w:r>
          </w:p>
        </w:tc>
      </w:tr>
      <w:tr>
        <w:tc>
          <w:tcPr>
            <w:tcW w:type="dxa" w:w="2448"/>
          </w:tcPr>
          <w:p>
            <w:r>
              <w:t>R07</w:t>
            </w:r>
          </w:p>
        </w:tc>
        <w:tc>
          <w:tcPr>
            <w:tcW w:type="dxa" w:w="2448"/>
          </w:tcPr>
          <w:p>
            <w:r>
              <w:t>Logging and alerting failures</w:t>
            </w:r>
          </w:p>
        </w:tc>
        <w:tc>
          <w:tcPr>
            <w:tcW w:type="dxa" w:w="2448"/>
          </w:tcPr>
          <w:p>
            <w:r>
              <w:t>Security-relevant activity may not be recorded, monitored or escalated in time.</w:t>
            </w:r>
          </w:p>
        </w:tc>
        <w:tc>
          <w:tcPr>
            <w:tcW w:type="dxa" w:w="2448"/>
          </w:tcPr>
          <w:p>
            <w:r>
              <w:t>Log relevant security events, protect logs, establish alert rules, and review response ownership and retention.</w:t>
            </w:r>
          </w:p>
        </w:tc>
      </w:tr>
      <w:tr>
        <w:tc>
          <w:tcPr>
            <w:tcW w:type="dxa" w:w="2448"/>
          </w:tcPr>
          <w:p>
            <w:r>
              <w:t>R08</w:t>
            </w:r>
          </w:p>
        </w:tc>
        <w:tc>
          <w:tcPr>
            <w:tcW w:type="dxa" w:w="2448"/>
          </w:tcPr>
          <w:p>
            <w:r>
              <w:t>Insufficient backup and recovery</w:t>
            </w:r>
          </w:p>
        </w:tc>
        <w:tc>
          <w:tcPr>
            <w:tcW w:type="dxa" w:w="2448"/>
          </w:tcPr>
          <w:p>
            <w:r>
              <w:t>If backups are missing, corrupted or not restorable, an incident could cause prolonged downtime or data loss.</w:t>
            </w:r>
          </w:p>
        </w:tc>
        <w:tc>
          <w:tcPr>
            <w:tcW w:type="dxa" w:w="2448"/>
          </w:tcPr>
          <w:p>
            <w:r>
              <w:t>Define recovery objectives, restrict and protect backups, and periodically test restoration.</w:t>
            </w:r>
          </w:p>
        </w:tc>
      </w:tr>
    </w:tbl>
    <w:p>
      <w:pPr>
        <w:pStyle w:val="Heading1"/>
      </w:pPr>
      <w:r>
        <w:t>6. Proposed Risk-Scoring Method</w:t>
      </w:r>
    </w:p>
    <w:p>
      <w:r>
        <w:t>For this project, likelihood and impact will each be rated from 1 to 5. The risk score will be calculated as Likelihood × Impact, giving a range from 1 to 25. Proposed bands are Low (1–4), Medium (5–9), High (10–16) and Critical (17–25). These are assessment-specific thresholds, not thresholds mandated by NIST or OWASP.</w:t>
      </w:r>
    </w:p>
    <w:p>
      <w:r>
        <w:t>Likelihood should be justified using scenario-specific considerations such as exposure, required access, plausibility and the assumed effectiveness of controls. Impact should consider confidentiality, integrity, availability, privacy, operational disruption and potential recovery effort. Scores in the final register must include a short rationale and must not be presented as measured probabilities.</w:t>
      </w:r>
    </w:p>
    <w:p>
      <w:r>
        <w:t>Inherent risk means risk before considering controls. Residual risk means the risk expected to remain after treatment. Since controls are not implemented or tested in this project scenario, residual ratings should be labelled estimates and revisited if evidence becomes available.</w:t>
      </w:r>
    </w:p>
    <w:p>
      <w:pPr>
        <w:pStyle w:val="Heading1"/>
      </w:pPr>
      <w:r>
        <w:t>7. Research Findings and Recommendations</w:t>
      </w:r>
    </w:p>
    <w:p>
      <w:pPr>
        <w:pStyle w:val="ListBullet"/>
      </w:pPr>
      <w:r>
        <w:t>Use NIST CSF 2.0 to structure the overall risk-management approach and to connect risks with governance, protection, detection, response and recovery.</w:t>
      </w:r>
    </w:p>
    <w:p>
      <w:pPr>
        <w:pStyle w:val="ListBullet"/>
      </w:pPr>
      <w:r>
        <w:t>Use OWASP Top 10:2025 to inform web-application risk identification, while avoiding the assumption that every category is present in the example website.</w:t>
      </w:r>
    </w:p>
    <w:p>
      <w:pPr>
        <w:pStyle w:val="ListBullet"/>
      </w:pPr>
      <w:r>
        <w:t>Record assets, threats, weaknesses, business impacts, existing controls, treatment actions and owners for each risk.</w:t>
      </w:r>
    </w:p>
    <w:p>
      <w:pPr>
        <w:pStyle w:val="ListBullet"/>
      </w:pPr>
      <w:r>
        <w:t>Separate known facts from assumptions. Since no system-specific evidence has been supplied, describe the entries as potential risk scenarios rather than verified vulnerabilities.</w:t>
      </w:r>
    </w:p>
    <w:p>
      <w:pPr>
        <w:pStyle w:val="ListBullet"/>
      </w:pPr>
      <w:r>
        <w:t>Prioritise treatment based on the documented scoring rubric, impact rationale and relevant business context rather than relying only on generic severity labels.</w:t>
      </w:r>
    </w:p>
    <w:p>
      <w:pPr>
        <w:pStyle w:val="ListBullet"/>
      </w:pPr>
      <w:r>
        <w:t>For a real deployment, validate assumptions with system owners and use only authorised reviews or tests before confirming findings and residual risk.</w:t>
      </w:r>
    </w:p>
    <w:p>
      <w:pPr>
        <w:pStyle w:val="Heading1"/>
      </w:pPr>
      <w:r>
        <w:t>8. Limitations</w:t>
      </w:r>
    </w:p>
    <w:p>
      <w:r>
        <w:t>This research is based on the public guidance listed below and a representative website scenario. No live website was examined, no vulnerability scanner or penetration test was run, and no organisation-specific control evidence was available. Therefore, the candidate risks and treatments are research-based planning inputs, not confirmed findings. The final risk scores are project assessments that should be justified and reviewed against the stated assumptions.</w:t>
      </w:r>
    </w:p>
    <w:p>
      <w:pPr>
        <w:pStyle w:val="Heading1"/>
      </w:pPr>
      <w:r>
        <w:t>9. References</w:t>
      </w:r>
    </w:p>
    <w:p>
      <w:pPr>
        <w:pStyle w:val="ListNumber"/>
      </w:pPr>
      <w:r>
        <w:t>National Institute of Standards and Technology (NIST). Cybersecurity Framework (CSF) 2.0. https://www.nist.gov/cyberframework</w:t>
      </w:r>
    </w:p>
    <w:p>
      <w:pPr>
        <w:pStyle w:val="ListNumber"/>
      </w:pPr>
      <w:r>
        <w:t>NIST. CSF 2.0: Resource &amp; Overview Guide. https://nvlpubs.nist.gov/nistpubs/SpecialPublications/NIST.SP.1299.pdf</w:t>
      </w:r>
    </w:p>
    <w:p>
      <w:pPr>
        <w:pStyle w:val="ListNumber"/>
      </w:pPr>
      <w:r>
        <w:t>OWASP Foundation. OWASP Top 10:2025. https://owasp.org/www-project-top-ten/</w:t>
      </w:r>
    </w:p>
    <w:p>
      <w:pPr>
        <w:pStyle w:val="ListNumber"/>
      </w:pPr>
      <w:r>
        <w:t>OWASP Foundation. Introduction to OWASP Top 10:2025. https://top10.owasp.org/2025/0x00_2025-Introduction/</w:t>
      </w:r>
    </w:p>
    <w:p>
      <w:r>
        <w:t>Accessed: 13 October 2026.</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Cybersecurity Research Notes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