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EF00" w14:textId="77777777" w:rsidR="003245DA" w:rsidRPr="00177242" w:rsidRDefault="00000000">
      <w:pPr>
        <w:jc w:val="center"/>
        <w:rPr>
          <w:rFonts w:ascii="Times New Roman" w:hAnsi="Times New Roman" w:cs="Times New Roman"/>
          <w:sz w:val="22"/>
          <w:szCs w:val="24"/>
        </w:rPr>
      </w:pPr>
      <w:r w:rsidRPr="00177242">
        <w:rPr>
          <w:rFonts w:ascii="Times New Roman" w:hAnsi="Times New Roman" w:cs="Times New Roman"/>
          <w:b/>
          <w:color w:val="1F4E79"/>
          <w:sz w:val="44"/>
          <w:szCs w:val="24"/>
        </w:rPr>
        <w:t>CYBERSECURITY RESEARCH NOTES</w:t>
      </w:r>
    </w:p>
    <w:p w14:paraId="75FAA0C6" w14:textId="77777777" w:rsidR="003245DA" w:rsidRPr="00177242" w:rsidRDefault="00000000">
      <w:pPr>
        <w:jc w:val="center"/>
        <w:rPr>
          <w:rFonts w:ascii="Times New Roman" w:hAnsi="Times New Roman" w:cs="Times New Roman"/>
          <w:sz w:val="22"/>
          <w:szCs w:val="24"/>
        </w:rPr>
      </w:pPr>
      <w:r w:rsidRPr="00177242">
        <w:rPr>
          <w:rFonts w:ascii="Times New Roman" w:hAnsi="Times New Roman" w:cs="Times New Roman"/>
          <w:i/>
          <w:sz w:val="24"/>
          <w:szCs w:val="24"/>
        </w:rPr>
        <w:t>Website Cybersecurity Risk Assessment | ABC Online Services</w:t>
      </w:r>
    </w:p>
    <w:p w14:paraId="2AF6BA9A"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Prepared for: Cybersecurity Internship Project</w:t>
      </w:r>
    </w:p>
    <w:p w14:paraId="5661645C"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Research date: 13 October 2026</w:t>
      </w:r>
    </w:p>
    <w:p w14:paraId="71540306"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Assessment basis: Representative website scenario; assumptions are documented and no real system has been tested.</w:t>
      </w:r>
    </w:p>
    <w:p w14:paraId="3F04E2B5"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1. Purpose of the Research</w:t>
      </w:r>
    </w:p>
    <w:p w14:paraId="397A1864"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The purpose of this research is to identify credible guidance for assessing cybersecurity risks in a customer-facing website environment. The research supports the selection of risk categories, the design of the assessment method and the recommendation of risk treatments. It is not evidence that any vulnerability exists in a particular live website.</w:t>
      </w:r>
    </w:p>
    <w:p w14:paraId="1C06779E"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2. Source 1: NIST Cybersecurity Framework (CSF) 2.0</w:t>
      </w:r>
    </w:p>
    <w:p w14:paraId="3F27A038"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Official source: https://www.nist.gov/cyberframework</w:t>
      </w:r>
    </w:p>
    <w:p w14:paraId="6E3A6A8B"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Supporting NIST overview: https://nvlpubs.nist.gov/nistpubs/SpecialPublications/NIST.SP.1299.pdf</w:t>
      </w:r>
    </w:p>
    <w:p w14:paraId="52164D68"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Research summary: NIST CSF 2.0 helps organisations understand, assess, prioritise and communicate cybersecurity risks. Its Core organises cybersecurity outcomes into six Functions: Govern, Identify, Protect, Detect, Respond and Recover. The framework describes outcomes rather than prescribing one fixed implementation method, so organisations can adapt it to their size, context and needs.</w:t>
      </w:r>
    </w:p>
    <w:p w14:paraId="3CA472D0"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Application to this project:</w:t>
      </w:r>
    </w:p>
    <w:p w14:paraId="0BD55BD9"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Govern: define assessment scope, assumptions, roles and risk-treatment responsibilities.</w:t>
      </w:r>
    </w:p>
    <w:p w14:paraId="133155D9"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Identify: list website assets, information, dependencies and plausible risk scenarios.</w:t>
      </w:r>
    </w:p>
    <w:p w14:paraId="66B71A48"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Protect: recommend preventive measures such as strong access controls, secure development and data protection.</w:t>
      </w:r>
    </w:p>
    <w:p w14:paraId="19781BB1"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Detect: consider security logging, monitoring and alerting.</w:t>
      </w:r>
    </w:p>
    <w:p w14:paraId="2FCB1F7B"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Respond: recommend clear incident handling and escalation responsibilities.</w:t>
      </w:r>
    </w:p>
    <w:p w14:paraId="1E8384C8"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Recover: consider backups, restoration testing and continuity planning.</w:t>
      </w:r>
    </w:p>
    <w:p w14:paraId="3689B0FE"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Important limitation: NIST CSF 2.0 does not prescribe the project's 1–5 likelihood/impact scale or the proposed Low/Medium/High/Critical score bands. Those will be project-defined criteria documented separately in the risk-register methodology.</w:t>
      </w:r>
    </w:p>
    <w:p w14:paraId="5B57CCEC"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3. Source 2: OWASP Top 10:2025</w:t>
      </w:r>
    </w:p>
    <w:p w14:paraId="525D72F8"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Official source: https://owasp.org/www-project-top-ten/</w:t>
      </w:r>
    </w:p>
    <w:p w14:paraId="661069E2"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OWASP Top 10:2025 introduction: https://top10.owasp.org/2025/0x00_2025-Introduction/</w:t>
      </w:r>
    </w:p>
    <w:p w14:paraId="1EBB027B"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 xml:space="preserve">Research summary: OWASP Top 10:2025 is an awareness document that summarises important web application security risk categories. The 2025 edition includes Broken Access Control, Security </w:t>
      </w:r>
      <w:r w:rsidRPr="00177242">
        <w:rPr>
          <w:rFonts w:ascii="Times New Roman" w:hAnsi="Times New Roman" w:cs="Times New Roman"/>
          <w:sz w:val="22"/>
          <w:szCs w:val="24"/>
        </w:rPr>
        <w:lastRenderedPageBreak/>
        <w:t>Misconfiguration, Software Supply Chain Failures, Cryptographic Failures, Injection, Insecure Design, Authentication Failures, Software or Data Integrity Failures, Security Logging &amp; Alerting Failures, and Mishandling of Exceptional Conditions.</w:t>
      </w:r>
    </w:p>
    <w:p w14:paraId="075AFA6F"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Application to this project:</w:t>
      </w:r>
    </w:p>
    <w:p w14:paraId="48462E52"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Broken access control: users may access records or functions outside their permissions.</w:t>
      </w:r>
    </w:p>
    <w:p w14:paraId="476BC9E5"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Security misconfiguration: unsafe defaults, exposed administrative interfaces or unnecessary services may increase exposure.</w:t>
      </w:r>
    </w:p>
    <w:p w14:paraId="0D2D2252"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Software supply-chain failures: compromised or untrusted dependencies and build/distribution processes may introduce risk.</w:t>
      </w:r>
    </w:p>
    <w:p w14:paraId="178A6C3F"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Cryptographic failures: inadequate protection of sensitive data may lead to exposure.</w:t>
      </w:r>
    </w:p>
    <w:p w14:paraId="3467792A"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Injection: unsafe handling of untrusted input may cause unintended queries or commands.</w:t>
      </w:r>
    </w:p>
    <w:p w14:paraId="00A016A8"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Insecure design: missing threat modelling or security requirements may create systemic weaknesses.</w:t>
      </w:r>
    </w:p>
    <w:p w14:paraId="1891C8B5"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Authentication failures: weak account protections may enable account compromise.</w:t>
      </w:r>
    </w:p>
    <w:p w14:paraId="2BCD7889"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Software or data integrity failures: untrusted updates or data changes may undermine system integrity.</w:t>
      </w:r>
    </w:p>
    <w:p w14:paraId="0495E844"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Logging and alerting failures: important security events may go undetected or unactioned.</w:t>
      </w:r>
    </w:p>
    <w:p w14:paraId="05FC3549"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Mishandling of exceptional conditions: errors or abnormal states may cause unsafe behaviour or expose information.</w:t>
      </w:r>
    </w:p>
    <w:p w14:paraId="3794F2AC"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Important limitation: OWASP Top 10 is a risk-awareness resource, not a complete risk register, a guarantee of coverage, or proof that a specific application has these weaknesses. The categories should be adapted to the scenario and supported with explicit assumptions.</w:t>
      </w:r>
    </w:p>
    <w:p w14:paraId="682E74B4"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4. Initial Asset Inventory</w:t>
      </w:r>
    </w:p>
    <w:tbl>
      <w:tblPr>
        <w:tblStyle w:val="LightShading-Accent1"/>
        <w:tblW w:w="0" w:type="auto"/>
        <w:tblLook w:val="04A0" w:firstRow="1" w:lastRow="0" w:firstColumn="1" w:lastColumn="0" w:noHBand="0" w:noVBand="1"/>
      </w:tblPr>
      <w:tblGrid>
        <w:gridCol w:w="3264"/>
        <w:gridCol w:w="3264"/>
        <w:gridCol w:w="3264"/>
      </w:tblGrid>
      <w:tr w:rsidR="003245DA" w:rsidRPr="00177242" w14:paraId="6D3E139A" w14:textId="77777777" w:rsidTr="00324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940192C"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Asset ID</w:t>
            </w:r>
          </w:p>
        </w:tc>
        <w:tc>
          <w:tcPr>
            <w:tcW w:w="3264" w:type="dxa"/>
          </w:tcPr>
          <w:p w14:paraId="0B128986" w14:textId="77777777" w:rsidR="003245DA" w:rsidRPr="0017724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Asset</w:t>
            </w:r>
          </w:p>
        </w:tc>
        <w:tc>
          <w:tcPr>
            <w:tcW w:w="3264" w:type="dxa"/>
          </w:tcPr>
          <w:p w14:paraId="613299AB" w14:textId="77777777" w:rsidR="003245DA" w:rsidRPr="0017724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Security concern</w:t>
            </w:r>
          </w:p>
        </w:tc>
      </w:tr>
      <w:tr w:rsidR="003245DA" w:rsidRPr="00177242" w14:paraId="4CB7B3EA"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182FD06"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AS-01</w:t>
            </w:r>
          </w:p>
        </w:tc>
        <w:tc>
          <w:tcPr>
            <w:tcW w:w="3264" w:type="dxa"/>
          </w:tcPr>
          <w:p w14:paraId="19318F3F"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Customer account and profile data</w:t>
            </w:r>
          </w:p>
        </w:tc>
        <w:tc>
          <w:tcPr>
            <w:tcW w:w="3264" w:type="dxa"/>
          </w:tcPr>
          <w:p w14:paraId="1D5122FB"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Confidentiality, integrity, privacy</w:t>
            </w:r>
          </w:p>
        </w:tc>
      </w:tr>
      <w:tr w:rsidR="003245DA" w:rsidRPr="00177242" w14:paraId="250552DF" w14:textId="77777777" w:rsidTr="003245DA">
        <w:tc>
          <w:tcPr>
            <w:cnfStyle w:val="001000000000" w:firstRow="0" w:lastRow="0" w:firstColumn="1" w:lastColumn="0" w:oddVBand="0" w:evenVBand="0" w:oddHBand="0" w:evenHBand="0" w:firstRowFirstColumn="0" w:firstRowLastColumn="0" w:lastRowFirstColumn="0" w:lastRowLastColumn="0"/>
            <w:tcW w:w="3264" w:type="dxa"/>
          </w:tcPr>
          <w:p w14:paraId="3E7DE718"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AS-02</w:t>
            </w:r>
          </w:p>
        </w:tc>
        <w:tc>
          <w:tcPr>
            <w:tcW w:w="3264" w:type="dxa"/>
          </w:tcPr>
          <w:p w14:paraId="7F176605"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Website application and input-handling functions</w:t>
            </w:r>
          </w:p>
        </w:tc>
        <w:tc>
          <w:tcPr>
            <w:tcW w:w="3264" w:type="dxa"/>
          </w:tcPr>
          <w:p w14:paraId="3FB1DA02"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Integrity, confidentiality, availability</w:t>
            </w:r>
          </w:p>
        </w:tc>
      </w:tr>
      <w:tr w:rsidR="003245DA" w:rsidRPr="00177242" w14:paraId="7B340408"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8490E2D"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AS-03</w:t>
            </w:r>
          </w:p>
        </w:tc>
        <w:tc>
          <w:tcPr>
            <w:tcW w:w="3264" w:type="dxa"/>
          </w:tcPr>
          <w:p w14:paraId="05B1B409"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Authentication and session management</w:t>
            </w:r>
          </w:p>
        </w:tc>
        <w:tc>
          <w:tcPr>
            <w:tcW w:w="3264" w:type="dxa"/>
          </w:tcPr>
          <w:p w14:paraId="0D546F06"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Account security, integrity</w:t>
            </w:r>
          </w:p>
        </w:tc>
      </w:tr>
      <w:tr w:rsidR="003245DA" w:rsidRPr="00177242" w14:paraId="33836AC3" w14:textId="77777777" w:rsidTr="003245DA">
        <w:tc>
          <w:tcPr>
            <w:cnfStyle w:val="001000000000" w:firstRow="0" w:lastRow="0" w:firstColumn="1" w:lastColumn="0" w:oddVBand="0" w:evenVBand="0" w:oddHBand="0" w:evenHBand="0" w:firstRowFirstColumn="0" w:firstRowLastColumn="0" w:lastRowFirstColumn="0" w:lastRowLastColumn="0"/>
            <w:tcW w:w="3264" w:type="dxa"/>
          </w:tcPr>
          <w:p w14:paraId="158B925B"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AS-04</w:t>
            </w:r>
          </w:p>
        </w:tc>
        <w:tc>
          <w:tcPr>
            <w:tcW w:w="3264" w:type="dxa"/>
          </w:tcPr>
          <w:p w14:paraId="267A72D2"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Administrative portal and privileged accounts</w:t>
            </w:r>
          </w:p>
        </w:tc>
        <w:tc>
          <w:tcPr>
            <w:tcW w:w="3264" w:type="dxa"/>
          </w:tcPr>
          <w:p w14:paraId="429399E3"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Privileged access, integrity</w:t>
            </w:r>
          </w:p>
        </w:tc>
      </w:tr>
      <w:tr w:rsidR="003245DA" w:rsidRPr="00177242" w14:paraId="7F29EB4F"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3A397C0"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AS-05</w:t>
            </w:r>
          </w:p>
        </w:tc>
        <w:tc>
          <w:tcPr>
            <w:tcW w:w="3264" w:type="dxa"/>
          </w:tcPr>
          <w:p w14:paraId="46018395"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Database and data storage</w:t>
            </w:r>
          </w:p>
        </w:tc>
        <w:tc>
          <w:tcPr>
            <w:tcW w:w="3264" w:type="dxa"/>
          </w:tcPr>
          <w:p w14:paraId="4321B502"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Confidentiality, integrity, availability</w:t>
            </w:r>
          </w:p>
        </w:tc>
      </w:tr>
      <w:tr w:rsidR="003245DA" w:rsidRPr="00177242" w14:paraId="6BBFC386" w14:textId="77777777" w:rsidTr="003245DA">
        <w:tc>
          <w:tcPr>
            <w:cnfStyle w:val="001000000000" w:firstRow="0" w:lastRow="0" w:firstColumn="1" w:lastColumn="0" w:oddVBand="0" w:evenVBand="0" w:oddHBand="0" w:evenHBand="0" w:firstRowFirstColumn="0" w:firstRowLastColumn="0" w:lastRowFirstColumn="0" w:lastRowLastColumn="0"/>
            <w:tcW w:w="3264" w:type="dxa"/>
          </w:tcPr>
          <w:p w14:paraId="063530E3"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AS-06</w:t>
            </w:r>
          </w:p>
        </w:tc>
        <w:tc>
          <w:tcPr>
            <w:tcW w:w="3264" w:type="dxa"/>
          </w:tcPr>
          <w:p w14:paraId="41A11941"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Third-party libraries and software dependencies</w:t>
            </w:r>
          </w:p>
        </w:tc>
        <w:tc>
          <w:tcPr>
            <w:tcW w:w="3264" w:type="dxa"/>
          </w:tcPr>
          <w:p w14:paraId="5C52B392"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Software integrity, availability</w:t>
            </w:r>
          </w:p>
        </w:tc>
      </w:tr>
      <w:tr w:rsidR="003245DA" w:rsidRPr="00177242" w14:paraId="1555A083"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6BCE391"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AS-07</w:t>
            </w:r>
          </w:p>
        </w:tc>
        <w:tc>
          <w:tcPr>
            <w:tcW w:w="3264" w:type="dxa"/>
          </w:tcPr>
          <w:p w14:paraId="0772FD22"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Security logs and alerts</w:t>
            </w:r>
          </w:p>
        </w:tc>
        <w:tc>
          <w:tcPr>
            <w:tcW w:w="3264" w:type="dxa"/>
          </w:tcPr>
          <w:p w14:paraId="6165B174"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Detection, investigation, accountability</w:t>
            </w:r>
          </w:p>
        </w:tc>
      </w:tr>
      <w:tr w:rsidR="003245DA" w:rsidRPr="00177242" w14:paraId="3B6E4A7B" w14:textId="77777777" w:rsidTr="003245DA">
        <w:tc>
          <w:tcPr>
            <w:cnfStyle w:val="001000000000" w:firstRow="0" w:lastRow="0" w:firstColumn="1" w:lastColumn="0" w:oddVBand="0" w:evenVBand="0" w:oddHBand="0" w:evenHBand="0" w:firstRowFirstColumn="0" w:firstRowLastColumn="0" w:lastRowFirstColumn="0" w:lastRowLastColumn="0"/>
            <w:tcW w:w="3264" w:type="dxa"/>
          </w:tcPr>
          <w:p w14:paraId="10FB6E40"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AS-08</w:t>
            </w:r>
          </w:p>
        </w:tc>
        <w:tc>
          <w:tcPr>
            <w:tcW w:w="3264" w:type="dxa"/>
          </w:tcPr>
          <w:p w14:paraId="18C14A9E"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Backups and recovery processes</w:t>
            </w:r>
          </w:p>
        </w:tc>
        <w:tc>
          <w:tcPr>
            <w:tcW w:w="3264" w:type="dxa"/>
          </w:tcPr>
          <w:p w14:paraId="4A58602C"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Availability, recoverability, integrity</w:t>
            </w:r>
          </w:p>
        </w:tc>
      </w:tr>
      <w:tr w:rsidR="003245DA" w:rsidRPr="00177242" w14:paraId="6A9E8ECC"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12C2A00"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AS-09</w:t>
            </w:r>
          </w:p>
        </w:tc>
        <w:tc>
          <w:tcPr>
            <w:tcW w:w="3264" w:type="dxa"/>
          </w:tcPr>
          <w:p w14:paraId="66540941"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Website availability and network-facing services</w:t>
            </w:r>
          </w:p>
        </w:tc>
        <w:tc>
          <w:tcPr>
            <w:tcW w:w="3264" w:type="dxa"/>
          </w:tcPr>
          <w:p w14:paraId="40F3F8DA"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Availability, service continuity, resilience to traffic spikes or denial-of-service</w:t>
            </w:r>
          </w:p>
        </w:tc>
      </w:tr>
      <w:tr w:rsidR="003245DA" w:rsidRPr="00177242" w14:paraId="0F4149F1" w14:textId="77777777" w:rsidTr="003245DA">
        <w:tc>
          <w:tcPr>
            <w:cnfStyle w:val="001000000000" w:firstRow="0" w:lastRow="0" w:firstColumn="1" w:lastColumn="0" w:oddVBand="0" w:evenVBand="0" w:oddHBand="0" w:evenHBand="0" w:firstRowFirstColumn="0" w:firstRowLastColumn="0" w:lastRowFirstColumn="0" w:lastRowLastColumn="0"/>
            <w:tcW w:w="3264" w:type="dxa"/>
          </w:tcPr>
          <w:p w14:paraId="5FD90C83"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AS-10</w:t>
            </w:r>
          </w:p>
        </w:tc>
        <w:tc>
          <w:tcPr>
            <w:tcW w:w="3264" w:type="dxa"/>
          </w:tcPr>
          <w:p w14:paraId="24C1E6B7"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 xml:space="preserve">HTTP security configuration and </w:t>
            </w:r>
            <w:r w:rsidRPr="00177242">
              <w:rPr>
                <w:rFonts w:ascii="Times New Roman" w:hAnsi="Times New Roman" w:cs="Times New Roman"/>
                <w:sz w:val="22"/>
                <w:szCs w:val="24"/>
              </w:rPr>
              <w:lastRenderedPageBreak/>
              <w:t>TLS certificates</w:t>
            </w:r>
          </w:p>
        </w:tc>
        <w:tc>
          <w:tcPr>
            <w:tcW w:w="3264" w:type="dxa"/>
          </w:tcPr>
          <w:p w14:paraId="3DBCCE40"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lastRenderedPageBreak/>
              <w:t xml:space="preserve">Transport confidentiality and </w:t>
            </w:r>
            <w:r w:rsidRPr="00177242">
              <w:rPr>
                <w:rFonts w:ascii="Times New Roman" w:hAnsi="Times New Roman" w:cs="Times New Roman"/>
                <w:sz w:val="22"/>
                <w:szCs w:val="24"/>
              </w:rPr>
              <w:lastRenderedPageBreak/>
              <w:t>integrity, browser-side security, trust in website connections</w:t>
            </w:r>
          </w:p>
        </w:tc>
      </w:tr>
    </w:tbl>
    <w:p w14:paraId="56BE4A1D"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lastRenderedPageBreak/>
        <w:t>5. Candidate Risk Scenarios for the Register</w:t>
      </w:r>
    </w:p>
    <w:tbl>
      <w:tblPr>
        <w:tblStyle w:val="LightShading-Accent1"/>
        <w:tblW w:w="0" w:type="auto"/>
        <w:tblLook w:val="04A0" w:firstRow="1" w:lastRow="0" w:firstColumn="1" w:lastColumn="0" w:noHBand="0" w:noVBand="1"/>
      </w:tblPr>
      <w:tblGrid>
        <w:gridCol w:w="2448"/>
        <w:gridCol w:w="2448"/>
        <w:gridCol w:w="2448"/>
        <w:gridCol w:w="2448"/>
      </w:tblGrid>
      <w:tr w:rsidR="003245DA" w:rsidRPr="00177242" w14:paraId="3AFD2F5D" w14:textId="77777777" w:rsidTr="003245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D2E10C7"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Risk ID</w:t>
            </w:r>
          </w:p>
        </w:tc>
        <w:tc>
          <w:tcPr>
            <w:tcW w:w="2448" w:type="dxa"/>
          </w:tcPr>
          <w:p w14:paraId="4B467EC1" w14:textId="77777777" w:rsidR="003245DA" w:rsidRPr="0017724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Category</w:t>
            </w:r>
          </w:p>
        </w:tc>
        <w:tc>
          <w:tcPr>
            <w:tcW w:w="2448" w:type="dxa"/>
          </w:tcPr>
          <w:p w14:paraId="6A79917F" w14:textId="77777777" w:rsidR="003245DA" w:rsidRPr="0017724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Potential scenario</w:t>
            </w:r>
          </w:p>
        </w:tc>
        <w:tc>
          <w:tcPr>
            <w:tcW w:w="2448" w:type="dxa"/>
          </w:tcPr>
          <w:p w14:paraId="54CF97BE" w14:textId="77777777" w:rsidR="003245DA" w:rsidRPr="0017724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Possible treatment</w:t>
            </w:r>
          </w:p>
        </w:tc>
      </w:tr>
      <w:tr w:rsidR="003245DA" w:rsidRPr="00177242" w14:paraId="58A0F0BB"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0EC65F"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R01</w:t>
            </w:r>
          </w:p>
        </w:tc>
        <w:tc>
          <w:tcPr>
            <w:tcW w:w="2448" w:type="dxa"/>
          </w:tcPr>
          <w:p w14:paraId="37DCFE35"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Injection</w:t>
            </w:r>
          </w:p>
        </w:tc>
        <w:tc>
          <w:tcPr>
            <w:tcW w:w="2448" w:type="dxa"/>
          </w:tcPr>
          <w:p w14:paraId="34110CF9"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If input is not safely handled, an attacker could manipulate database queries or other interpreter commands.</w:t>
            </w:r>
          </w:p>
        </w:tc>
        <w:tc>
          <w:tcPr>
            <w:tcW w:w="2448" w:type="dxa"/>
          </w:tcPr>
          <w:p w14:paraId="0D2B7E82"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Use parameterised queries, safe APIs, input validation, code review and authorised testing.</w:t>
            </w:r>
          </w:p>
        </w:tc>
      </w:tr>
      <w:tr w:rsidR="003245DA" w:rsidRPr="00177242" w14:paraId="273EEC9C" w14:textId="77777777" w:rsidTr="003245DA">
        <w:tc>
          <w:tcPr>
            <w:cnfStyle w:val="001000000000" w:firstRow="0" w:lastRow="0" w:firstColumn="1" w:lastColumn="0" w:oddVBand="0" w:evenVBand="0" w:oddHBand="0" w:evenHBand="0" w:firstRowFirstColumn="0" w:firstRowLastColumn="0" w:lastRowFirstColumn="0" w:lastRowLastColumn="0"/>
            <w:tcW w:w="2448" w:type="dxa"/>
          </w:tcPr>
          <w:p w14:paraId="314015EB"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R02</w:t>
            </w:r>
          </w:p>
        </w:tc>
        <w:tc>
          <w:tcPr>
            <w:tcW w:w="2448" w:type="dxa"/>
          </w:tcPr>
          <w:p w14:paraId="0295A600"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Broken access control</w:t>
            </w:r>
          </w:p>
        </w:tc>
        <w:tc>
          <w:tcPr>
            <w:tcW w:w="2448" w:type="dxa"/>
          </w:tcPr>
          <w:p w14:paraId="420E085F"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If server-side authorisation checks are missing or inconsistent, users could access other users' records or restricted functions.</w:t>
            </w:r>
          </w:p>
        </w:tc>
        <w:tc>
          <w:tcPr>
            <w:tcW w:w="2448" w:type="dxa"/>
          </w:tcPr>
          <w:p w14:paraId="2F63EB19"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Enforce least privilege and server-side authorisation on every protected operation; test role and object-level access.</w:t>
            </w:r>
          </w:p>
        </w:tc>
      </w:tr>
      <w:tr w:rsidR="003245DA" w:rsidRPr="00177242" w14:paraId="2ACF539E"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407DDEF"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R03</w:t>
            </w:r>
          </w:p>
        </w:tc>
        <w:tc>
          <w:tcPr>
            <w:tcW w:w="2448" w:type="dxa"/>
          </w:tcPr>
          <w:p w14:paraId="2CD9FBAF"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Authentication failures</w:t>
            </w:r>
          </w:p>
        </w:tc>
        <w:tc>
          <w:tcPr>
            <w:tcW w:w="2448" w:type="dxa"/>
          </w:tcPr>
          <w:p w14:paraId="41992498"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Weak account protections or session handling could enable account takeover.</w:t>
            </w:r>
          </w:p>
        </w:tc>
        <w:tc>
          <w:tcPr>
            <w:tcW w:w="2448" w:type="dxa"/>
          </w:tcPr>
          <w:p w14:paraId="2B1DA1A7"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Use secure password handling, rate limiting, multifactor authentication for privileged access, and secure session management.</w:t>
            </w:r>
          </w:p>
        </w:tc>
      </w:tr>
      <w:tr w:rsidR="003245DA" w:rsidRPr="00177242" w14:paraId="71EBC877" w14:textId="77777777" w:rsidTr="003245DA">
        <w:tc>
          <w:tcPr>
            <w:cnfStyle w:val="001000000000" w:firstRow="0" w:lastRow="0" w:firstColumn="1" w:lastColumn="0" w:oddVBand="0" w:evenVBand="0" w:oddHBand="0" w:evenHBand="0" w:firstRowFirstColumn="0" w:firstRowLastColumn="0" w:lastRowFirstColumn="0" w:lastRowLastColumn="0"/>
            <w:tcW w:w="2448" w:type="dxa"/>
          </w:tcPr>
          <w:p w14:paraId="6EC7A6F8"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R04</w:t>
            </w:r>
          </w:p>
        </w:tc>
        <w:tc>
          <w:tcPr>
            <w:tcW w:w="2448" w:type="dxa"/>
          </w:tcPr>
          <w:p w14:paraId="7C5D5860"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Security misconfiguration</w:t>
            </w:r>
          </w:p>
        </w:tc>
        <w:tc>
          <w:tcPr>
            <w:tcW w:w="2448" w:type="dxa"/>
          </w:tcPr>
          <w:p w14:paraId="24144473"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Unnecessary services, default settings, exposed debug details or overly permissive configuration could increase attack surface.</w:t>
            </w:r>
          </w:p>
        </w:tc>
        <w:tc>
          <w:tcPr>
            <w:tcW w:w="2448" w:type="dxa"/>
          </w:tcPr>
          <w:p w14:paraId="3892C712"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Use hardened baselines, remove defaults and debug settings, restrict administrative access, and review configurations.</w:t>
            </w:r>
          </w:p>
        </w:tc>
      </w:tr>
      <w:tr w:rsidR="003245DA" w:rsidRPr="00177242" w14:paraId="35E04D85"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766FA4"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R05</w:t>
            </w:r>
          </w:p>
        </w:tc>
        <w:tc>
          <w:tcPr>
            <w:tcW w:w="2448" w:type="dxa"/>
          </w:tcPr>
          <w:p w14:paraId="43A5F4DE"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Cryptographic failures</w:t>
            </w:r>
          </w:p>
        </w:tc>
        <w:tc>
          <w:tcPr>
            <w:tcW w:w="2448" w:type="dxa"/>
          </w:tcPr>
          <w:p w14:paraId="50AFC017"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Sensitive data may be exposed if it is not appropriately protected in transit or at rest, or if keys are mishandled.</w:t>
            </w:r>
          </w:p>
        </w:tc>
        <w:tc>
          <w:tcPr>
            <w:tcW w:w="2448" w:type="dxa"/>
          </w:tcPr>
          <w:p w14:paraId="01690B39"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Use modern, correctly configured TLS, appropriate encryption where needed, and secure key management.</w:t>
            </w:r>
          </w:p>
        </w:tc>
      </w:tr>
      <w:tr w:rsidR="003245DA" w:rsidRPr="00177242" w14:paraId="0F860626" w14:textId="77777777" w:rsidTr="003245DA">
        <w:tc>
          <w:tcPr>
            <w:cnfStyle w:val="001000000000" w:firstRow="0" w:lastRow="0" w:firstColumn="1" w:lastColumn="0" w:oddVBand="0" w:evenVBand="0" w:oddHBand="0" w:evenHBand="0" w:firstRowFirstColumn="0" w:firstRowLastColumn="0" w:lastRowFirstColumn="0" w:lastRowLastColumn="0"/>
            <w:tcW w:w="2448" w:type="dxa"/>
          </w:tcPr>
          <w:p w14:paraId="790AA98D"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R06</w:t>
            </w:r>
          </w:p>
        </w:tc>
        <w:tc>
          <w:tcPr>
            <w:tcW w:w="2448" w:type="dxa"/>
          </w:tcPr>
          <w:p w14:paraId="29178168"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Software supply-chain failures</w:t>
            </w:r>
          </w:p>
        </w:tc>
        <w:tc>
          <w:tcPr>
            <w:tcW w:w="2448" w:type="dxa"/>
          </w:tcPr>
          <w:p w14:paraId="05CC3DF0"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Compromised, unmaintained or untrusted dependencies could introduce vulnerabilities or malicious code.</w:t>
            </w:r>
          </w:p>
        </w:tc>
        <w:tc>
          <w:tcPr>
            <w:tcW w:w="2448" w:type="dxa"/>
          </w:tcPr>
          <w:p w14:paraId="0770DAC9"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Maintain an inventory of dependencies, use trusted sources, review updates, monitor advisories and apply patches.</w:t>
            </w:r>
          </w:p>
        </w:tc>
      </w:tr>
      <w:tr w:rsidR="003245DA" w:rsidRPr="00177242" w14:paraId="2DD72286"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A68AF7"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R07</w:t>
            </w:r>
          </w:p>
        </w:tc>
        <w:tc>
          <w:tcPr>
            <w:tcW w:w="2448" w:type="dxa"/>
          </w:tcPr>
          <w:p w14:paraId="472DF12F"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Logging and alerting failures</w:t>
            </w:r>
          </w:p>
        </w:tc>
        <w:tc>
          <w:tcPr>
            <w:tcW w:w="2448" w:type="dxa"/>
          </w:tcPr>
          <w:p w14:paraId="488A6E8B"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Security-relevant activity may not be recorded, monitored or escalated in time.</w:t>
            </w:r>
          </w:p>
        </w:tc>
        <w:tc>
          <w:tcPr>
            <w:tcW w:w="2448" w:type="dxa"/>
          </w:tcPr>
          <w:p w14:paraId="01BF9581"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Log relevant security events, protect logs, establish alert rules, and review response ownership and retention.</w:t>
            </w:r>
          </w:p>
        </w:tc>
      </w:tr>
      <w:tr w:rsidR="003245DA" w:rsidRPr="00177242" w14:paraId="38358450" w14:textId="77777777" w:rsidTr="003245DA">
        <w:tc>
          <w:tcPr>
            <w:cnfStyle w:val="001000000000" w:firstRow="0" w:lastRow="0" w:firstColumn="1" w:lastColumn="0" w:oddVBand="0" w:evenVBand="0" w:oddHBand="0" w:evenHBand="0" w:firstRowFirstColumn="0" w:firstRowLastColumn="0" w:lastRowFirstColumn="0" w:lastRowLastColumn="0"/>
            <w:tcW w:w="2448" w:type="dxa"/>
          </w:tcPr>
          <w:p w14:paraId="31542C0D"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R08</w:t>
            </w:r>
          </w:p>
        </w:tc>
        <w:tc>
          <w:tcPr>
            <w:tcW w:w="2448" w:type="dxa"/>
          </w:tcPr>
          <w:p w14:paraId="052AB024"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Insufficient backup and recovery</w:t>
            </w:r>
          </w:p>
        </w:tc>
        <w:tc>
          <w:tcPr>
            <w:tcW w:w="2448" w:type="dxa"/>
          </w:tcPr>
          <w:p w14:paraId="51B3F825"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 xml:space="preserve">If backups are missing, corrupted or not </w:t>
            </w:r>
            <w:r w:rsidRPr="00177242">
              <w:rPr>
                <w:rFonts w:ascii="Times New Roman" w:hAnsi="Times New Roman" w:cs="Times New Roman"/>
                <w:sz w:val="22"/>
                <w:szCs w:val="24"/>
              </w:rPr>
              <w:lastRenderedPageBreak/>
              <w:t>restorable, an incident could cause prolonged downtime or data loss.</w:t>
            </w:r>
          </w:p>
        </w:tc>
        <w:tc>
          <w:tcPr>
            <w:tcW w:w="2448" w:type="dxa"/>
          </w:tcPr>
          <w:p w14:paraId="00437D96"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lastRenderedPageBreak/>
              <w:t xml:space="preserve">Define recovery objectives, restrict and </w:t>
            </w:r>
            <w:r w:rsidRPr="00177242">
              <w:rPr>
                <w:rFonts w:ascii="Times New Roman" w:hAnsi="Times New Roman" w:cs="Times New Roman"/>
                <w:sz w:val="22"/>
                <w:szCs w:val="24"/>
              </w:rPr>
              <w:lastRenderedPageBreak/>
              <w:t>protect backups, and periodically test restoration.</w:t>
            </w:r>
          </w:p>
        </w:tc>
      </w:tr>
      <w:tr w:rsidR="003245DA" w:rsidRPr="00177242" w14:paraId="642BEBD3" w14:textId="77777777" w:rsidTr="00324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821B9F7"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lastRenderedPageBreak/>
              <w:t>R09</w:t>
            </w:r>
          </w:p>
        </w:tc>
        <w:tc>
          <w:tcPr>
            <w:tcW w:w="2448" w:type="dxa"/>
          </w:tcPr>
          <w:p w14:paraId="40E83D34"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Denial of service</w:t>
            </w:r>
          </w:p>
        </w:tc>
        <w:tc>
          <w:tcPr>
            <w:tcW w:w="2448" w:type="dxa"/>
          </w:tcPr>
          <w:p w14:paraId="2880D320"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Excessive or malicious traffic could make the website slow or unavailable to legitimate users.</w:t>
            </w:r>
          </w:p>
        </w:tc>
        <w:tc>
          <w:tcPr>
            <w:tcW w:w="2448" w:type="dxa"/>
          </w:tcPr>
          <w:p w14:paraId="7130474B" w14:textId="77777777" w:rsidR="003245DA" w:rsidRPr="0017724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Apply rate limiting, use suitable traffic filtering or DDoS protection, monitor availability, and establish an incident response procedure.</w:t>
            </w:r>
          </w:p>
        </w:tc>
      </w:tr>
      <w:tr w:rsidR="003245DA" w:rsidRPr="00177242" w14:paraId="5F8A1C72" w14:textId="77777777" w:rsidTr="003245DA">
        <w:tc>
          <w:tcPr>
            <w:cnfStyle w:val="001000000000" w:firstRow="0" w:lastRow="0" w:firstColumn="1" w:lastColumn="0" w:oddVBand="0" w:evenVBand="0" w:oddHBand="0" w:evenHBand="0" w:firstRowFirstColumn="0" w:firstRowLastColumn="0" w:lastRowFirstColumn="0" w:lastRowLastColumn="0"/>
            <w:tcW w:w="2448" w:type="dxa"/>
          </w:tcPr>
          <w:p w14:paraId="0402E6EE"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R10</w:t>
            </w:r>
          </w:p>
        </w:tc>
        <w:tc>
          <w:tcPr>
            <w:tcW w:w="2448" w:type="dxa"/>
          </w:tcPr>
          <w:p w14:paraId="7E61F3CD"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Security headers and transport configuration</w:t>
            </w:r>
          </w:p>
        </w:tc>
        <w:tc>
          <w:tcPr>
            <w:tcW w:w="2448" w:type="dxa"/>
          </w:tcPr>
          <w:p w14:paraId="0ED2FA49"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Missing or weak HTTP security headers and insecure transport settings could increase exposure to browser-based attacks or weaken connection security.</w:t>
            </w:r>
          </w:p>
        </w:tc>
        <w:tc>
          <w:tcPr>
            <w:tcW w:w="2448" w:type="dxa"/>
          </w:tcPr>
          <w:p w14:paraId="4ED86AE8" w14:textId="77777777" w:rsidR="003245DA" w:rsidRPr="0017724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4"/>
              </w:rPr>
            </w:pPr>
            <w:r w:rsidRPr="00177242">
              <w:rPr>
                <w:rFonts w:ascii="Times New Roman" w:hAnsi="Times New Roman" w:cs="Times New Roman"/>
                <w:sz w:val="22"/>
                <w:szCs w:val="24"/>
              </w:rPr>
              <w:t>Enforce HTTPS, configure appropriate security headers such as Content-Security-Policy and X-Content-Type-Options, and periodically review TLS and header settings.</w:t>
            </w:r>
          </w:p>
        </w:tc>
      </w:tr>
    </w:tbl>
    <w:p w14:paraId="50723D45" w14:textId="63C067C5"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6. Proposed Risk-Scoring Method</w:t>
      </w:r>
    </w:p>
    <w:p w14:paraId="49A56392"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For this project, likelihood and impact will each be rated from 1 to 5. The risk score will be calculated as Likelihood × Impact, giving a range from 1 to 25. Proposed bands are Low (1–4), Medium (5–9), High (10–16) and Critical (17–25). These are assessment-specific thresholds, not thresholds mandated by NIST or OWASP.</w:t>
      </w:r>
    </w:p>
    <w:p w14:paraId="68E9BA45"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Likelihood should be justified using scenario-specific considerations such as exposure, required access, plausibility and the assumed effectiveness of controls. Impact should consider confidentiality, integrity, availability, privacy, operational disruption and potential recovery effort. Scores in the final register must include a short rationale and must not be presented as measured probabilities.</w:t>
      </w:r>
    </w:p>
    <w:p w14:paraId="699BC7EC" w14:textId="77777777"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Inherent risk means risk before considering controls. Residual risk means the risk expected to remain after treatment. Since controls are not implemented or tested in this project scenario, residual ratings should be labelled estimates and revisited if evidence becomes available.</w:t>
      </w:r>
    </w:p>
    <w:p w14:paraId="61677220" w14:textId="77777777" w:rsidR="00177242" w:rsidRPr="00177242" w:rsidRDefault="00177242">
      <w:pPr>
        <w:rPr>
          <w:rFonts w:ascii="Times New Roman" w:hAnsi="Times New Roman" w:cs="Times New Roman"/>
          <w:sz w:val="22"/>
          <w:szCs w:val="24"/>
        </w:rPr>
      </w:pPr>
    </w:p>
    <w:p w14:paraId="7B2AE311" w14:textId="77777777" w:rsidR="00177242" w:rsidRPr="00177242" w:rsidRDefault="00177242">
      <w:pPr>
        <w:rPr>
          <w:rFonts w:ascii="Times New Roman" w:hAnsi="Times New Roman" w:cs="Times New Roman"/>
          <w:sz w:val="22"/>
          <w:szCs w:val="24"/>
        </w:rPr>
      </w:pPr>
    </w:p>
    <w:p w14:paraId="1851A74A"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7. Research Findings and Recommendations</w:t>
      </w:r>
    </w:p>
    <w:p w14:paraId="0F8B93B5"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Use NIST CSF 2.0 to structure the overall risk-management approach and to connect risks with governance, protection, detection, response and recovery.</w:t>
      </w:r>
    </w:p>
    <w:p w14:paraId="78AE47B7"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Use OWASP Top 10:2025 to inform web-application risk identification, while avoiding the assumption that every category is present in the example website.</w:t>
      </w:r>
    </w:p>
    <w:p w14:paraId="510223D3"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Record assets, threats, weaknesses, business impacts, existing controls, treatment actions and owners for each risk.</w:t>
      </w:r>
    </w:p>
    <w:p w14:paraId="5A2548AA"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Separate known facts from assumptions. Since no system-specific evidence has been supplied, describe the entries as potential risk scenarios rather than verified vulnerabilities.</w:t>
      </w:r>
    </w:p>
    <w:p w14:paraId="63619AFD"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lastRenderedPageBreak/>
        <w:t>Prioritise treatment based on the documented scoring rubric, impact rationale and relevant business context rather than relying only on generic severity labels.</w:t>
      </w:r>
    </w:p>
    <w:p w14:paraId="3283D811" w14:textId="77777777" w:rsidR="003245DA" w:rsidRPr="00177242" w:rsidRDefault="00000000">
      <w:pPr>
        <w:pStyle w:val="ListBullet"/>
        <w:rPr>
          <w:rFonts w:ascii="Times New Roman" w:hAnsi="Times New Roman" w:cs="Times New Roman"/>
          <w:sz w:val="22"/>
          <w:szCs w:val="24"/>
        </w:rPr>
      </w:pPr>
      <w:r w:rsidRPr="00177242">
        <w:rPr>
          <w:rFonts w:ascii="Times New Roman" w:hAnsi="Times New Roman" w:cs="Times New Roman"/>
          <w:sz w:val="22"/>
          <w:szCs w:val="24"/>
        </w:rPr>
        <w:t xml:space="preserve">For </w:t>
      </w:r>
      <w:proofErr w:type="gramStart"/>
      <w:r w:rsidRPr="00177242">
        <w:rPr>
          <w:rFonts w:ascii="Times New Roman" w:hAnsi="Times New Roman" w:cs="Times New Roman"/>
          <w:sz w:val="22"/>
          <w:szCs w:val="24"/>
        </w:rPr>
        <w:t>a real</w:t>
      </w:r>
      <w:proofErr w:type="gramEnd"/>
      <w:r w:rsidRPr="00177242">
        <w:rPr>
          <w:rFonts w:ascii="Times New Roman" w:hAnsi="Times New Roman" w:cs="Times New Roman"/>
          <w:sz w:val="22"/>
          <w:szCs w:val="24"/>
        </w:rPr>
        <w:t xml:space="preserve"> deployment, validate assumptions with system owners and use only authorised reviews or tests before confirming findings and residual risk.</w:t>
      </w:r>
    </w:p>
    <w:p w14:paraId="5B8934E1" w14:textId="77777777" w:rsidR="00177242" w:rsidRPr="00177242" w:rsidRDefault="00177242" w:rsidP="00177242">
      <w:pPr>
        <w:pStyle w:val="ListBullet"/>
        <w:numPr>
          <w:ilvl w:val="0"/>
          <w:numId w:val="0"/>
        </w:numPr>
        <w:ind w:left="360" w:hanging="360"/>
        <w:rPr>
          <w:rFonts w:ascii="Times New Roman" w:hAnsi="Times New Roman" w:cs="Times New Roman"/>
          <w:sz w:val="22"/>
          <w:szCs w:val="24"/>
        </w:rPr>
      </w:pPr>
    </w:p>
    <w:p w14:paraId="5F772979" w14:textId="77777777" w:rsidR="00177242" w:rsidRPr="00177242" w:rsidRDefault="00177242" w:rsidP="00177242">
      <w:pPr>
        <w:pStyle w:val="ListBullet"/>
        <w:numPr>
          <w:ilvl w:val="0"/>
          <w:numId w:val="0"/>
        </w:numPr>
        <w:ind w:left="360" w:hanging="360"/>
        <w:rPr>
          <w:rFonts w:ascii="Times New Roman" w:hAnsi="Times New Roman" w:cs="Times New Roman"/>
          <w:sz w:val="22"/>
          <w:szCs w:val="24"/>
        </w:rPr>
      </w:pPr>
    </w:p>
    <w:p w14:paraId="156E4DAB" w14:textId="77777777" w:rsidR="00177242" w:rsidRPr="00177242" w:rsidRDefault="00177242" w:rsidP="00177242">
      <w:pPr>
        <w:pStyle w:val="ListBullet"/>
        <w:numPr>
          <w:ilvl w:val="0"/>
          <w:numId w:val="0"/>
        </w:numPr>
        <w:ind w:left="360" w:hanging="360"/>
        <w:rPr>
          <w:rFonts w:ascii="Times New Roman" w:hAnsi="Times New Roman" w:cs="Times New Roman"/>
          <w:sz w:val="22"/>
          <w:szCs w:val="24"/>
        </w:rPr>
      </w:pPr>
    </w:p>
    <w:p w14:paraId="0704DD32" w14:textId="77777777" w:rsidR="003245DA" w:rsidRPr="00177242" w:rsidRDefault="00000000">
      <w:pPr>
        <w:pStyle w:val="Heading1"/>
        <w:rPr>
          <w:rFonts w:ascii="Times New Roman" w:hAnsi="Times New Roman" w:cs="Times New Roman"/>
          <w:sz w:val="32"/>
          <w:szCs w:val="32"/>
        </w:rPr>
      </w:pPr>
      <w:r w:rsidRPr="00177242">
        <w:rPr>
          <w:rFonts w:ascii="Times New Roman" w:hAnsi="Times New Roman" w:cs="Times New Roman"/>
          <w:sz w:val="32"/>
          <w:szCs w:val="32"/>
        </w:rPr>
        <w:t>8. Limitations</w:t>
      </w:r>
    </w:p>
    <w:p w14:paraId="60A6728C" w14:textId="55EAD45A" w:rsidR="003245DA" w:rsidRPr="00177242" w:rsidRDefault="00000000">
      <w:pPr>
        <w:rPr>
          <w:rFonts w:ascii="Times New Roman" w:hAnsi="Times New Roman" w:cs="Times New Roman"/>
          <w:sz w:val="22"/>
          <w:szCs w:val="24"/>
        </w:rPr>
      </w:pPr>
      <w:r w:rsidRPr="00177242">
        <w:rPr>
          <w:rFonts w:ascii="Times New Roman" w:hAnsi="Times New Roman" w:cs="Times New Roman"/>
          <w:sz w:val="22"/>
          <w:szCs w:val="24"/>
        </w:rPr>
        <w:t>This research is based on the public guidance listed below and a representative website scenario. No live website was examined, no vulnerability scanner or penetration test was run, and no organisation-specific control evidence was available. Therefore, the candidate risks and treatments are research-based planning inputs, not confirmed findings. The final risk scores are project assessments that should be justified and reviewed against the stated assumptions</w:t>
      </w:r>
      <w:r w:rsidR="00177242" w:rsidRPr="00177242">
        <w:rPr>
          <w:rFonts w:ascii="Times New Roman" w:hAnsi="Times New Roman" w:cs="Times New Roman"/>
          <w:sz w:val="22"/>
          <w:szCs w:val="24"/>
        </w:rPr>
        <w:t>.</w:t>
      </w:r>
    </w:p>
    <w:p w14:paraId="6C854537" w14:textId="77777777" w:rsidR="003245DA" w:rsidRPr="00177242" w:rsidRDefault="00000000">
      <w:pPr>
        <w:pStyle w:val="Heading1"/>
        <w:rPr>
          <w:rFonts w:ascii="Times New Roman" w:hAnsi="Times New Roman" w:cs="Times New Roman"/>
          <w:sz w:val="24"/>
          <w:szCs w:val="24"/>
        </w:rPr>
      </w:pPr>
      <w:r w:rsidRPr="00177242">
        <w:rPr>
          <w:rFonts w:ascii="Times New Roman" w:hAnsi="Times New Roman" w:cs="Times New Roman"/>
          <w:sz w:val="24"/>
          <w:szCs w:val="24"/>
        </w:rPr>
        <w:t>9. References</w:t>
      </w:r>
    </w:p>
    <w:p w14:paraId="4FBD3F72" w14:textId="77777777" w:rsidR="003245DA" w:rsidRPr="00177242" w:rsidRDefault="00000000">
      <w:pPr>
        <w:pStyle w:val="ListNumber"/>
        <w:rPr>
          <w:rFonts w:ascii="Times New Roman" w:hAnsi="Times New Roman" w:cs="Times New Roman"/>
          <w:sz w:val="24"/>
          <w:szCs w:val="24"/>
        </w:rPr>
      </w:pPr>
      <w:r w:rsidRPr="00177242">
        <w:rPr>
          <w:rFonts w:ascii="Times New Roman" w:hAnsi="Times New Roman" w:cs="Times New Roman"/>
          <w:sz w:val="24"/>
          <w:szCs w:val="24"/>
        </w:rPr>
        <w:t>National Institute of Standards and Technology (NIST). Cybersecurity Framework (CSF) 2.0. https://www.nist.gov/cyberframework</w:t>
      </w:r>
    </w:p>
    <w:p w14:paraId="2A37EAFB" w14:textId="77777777" w:rsidR="003245DA" w:rsidRPr="00177242" w:rsidRDefault="00000000">
      <w:pPr>
        <w:pStyle w:val="ListNumber"/>
        <w:rPr>
          <w:rFonts w:ascii="Times New Roman" w:hAnsi="Times New Roman" w:cs="Times New Roman"/>
          <w:sz w:val="24"/>
          <w:szCs w:val="24"/>
        </w:rPr>
      </w:pPr>
      <w:r w:rsidRPr="00177242">
        <w:rPr>
          <w:rFonts w:ascii="Times New Roman" w:hAnsi="Times New Roman" w:cs="Times New Roman"/>
          <w:sz w:val="24"/>
          <w:szCs w:val="24"/>
        </w:rPr>
        <w:t>NIST. CSF 2.0: Resource &amp; Overview Guide. https://nvlpubs.nist.gov/nistpubs/SpecialPublications/NIST.SP.1299.pdf</w:t>
      </w:r>
    </w:p>
    <w:p w14:paraId="3E3E6E9C" w14:textId="77777777" w:rsidR="003245DA" w:rsidRPr="00177242" w:rsidRDefault="00000000">
      <w:pPr>
        <w:pStyle w:val="ListNumber"/>
        <w:rPr>
          <w:rFonts w:ascii="Times New Roman" w:hAnsi="Times New Roman" w:cs="Times New Roman"/>
          <w:sz w:val="24"/>
          <w:szCs w:val="24"/>
        </w:rPr>
      </w:pPr>
      <w:r w:rsidRPr="00177242">
        <w:rPr>
          <w:rFonts w:ascii="Times New Roman" w:hAnsi="Times New Roman" w:cs="Times New Roman"/>
          <w:sz w:val="24"/>
          <w:szCs w:val="24"/>
        </w:rPr>
        <w:t>OWASP Foundation. OWASP Top 10:2025. https://owasp.org/www-project-top-ten/</w:t>
      </w:r>
    </w:p>
    <w:p w14:paraId="7C261ED3" w14:textId="77777777" w:rsidR="003245DA" w:rsidRPr="00177242" w:rsidRDefault="00000000">
      <w:pPr>
        <w:pStyle w:val="ListNumber"/>
        <w:rPr>
          <w:rFonts w:ascii="Times New Roman" w:hAnsi="Times New Roman" w:cs="Times New Roman"/>
          <w:sz w:val="24"/>
          <w:szCs w:val="24"/>
        </w:rPr>
      </w:pPr>
      <w:r w:rsidRPr="00177242">
        <w:rPr>
          <w:rFonts w:ascii="Times New Roman" w:hAnsi="Times New Roman" w:cs="Times New Roman"/>
          <w:sz w:val="24"/>
          <w:szCs w:val="24"/>
        </w:rPr>
        <w:t>OWASP Foundation. Introduction to OWASP Top 10:2025. https://top10.owasp.org/2025/0x00_2025-Introduction/</w:t>
      </w:r>
    </w:p>
    <w:p w14:paraId="2E77560C" w14:textId="6BA9A827" w:rsidR="003245DA" w:rsidRPr="00177242" w:rsidRDefault="003245DA">
      <w:pPr>
        <w:rPr>
          <w:rFonts w:ascii="Times New Roman" w:hAnsi="Times New Roman" w:cs="Times New Roman"/>
        </w:rPr>
      </w:pPr>
    </w:p>
    <w:sectPr w:rsidR="003245DA" w:rsidRPr="0017724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3ABB6" w14:textId="77777777" w:rsidR="00A652BD" w:rsidRDefault="00A652BD">
      <w:pPr>
        <w:spacing w:after="0" w:line="240" w:lineRule="auto"/>
      </w:pPr>
      <w:r>
        <w:separator/>
      </w:r>
    </w:p>
  </w:endnote>
  <w:endnote w:type="continuationSeparator" w:id="0">
    <w:p w14:paraId="0B3611E5" w14:textId="77777777" w:rsidR="00A652BD" w:rsidRDefault="00A65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74BF2" w14:textId="77777777" w:rsidR="003245DA" w:rsidRDefault="00000000">
    <w:pPr>
      <w:pStyle w:val="Footer"/>
      <w:jc w:val="center"/>
    </w:pPr>
    <w:r>
      <w:t xml:space="preserve">Cybersecurity Research Notes | </w:t>
    </w:r>
    <w:r>
      <w:fldChar w:fldCharType="begin"/>
    </w:r>
    <w:r>
      <w:instrText>PAGE</w:instrText>
    </w:r>
    <w:r>
      <w:fldChar w:fldCharType="separate"/>
    </w:r>
    <w:r w:rsidR="001772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7EF1" w14:textId="77777777" w:rsidR="00A652BD" w:rsidRDefault="00A652BD">
      <w:pPr>
        <w:spacing w:after="0" w:line="240" w:lineRule="auto"/>
      </w:pPr>
      <w:r>
        <w:separator/>
      </w:r>
    </w:p>
  </w:footnote>
  <w:footnote w:type="continuationSeparator" w:id="0">
    <w:p w14:paraId="47EB38CF" w14:textId="77777777" w:rsidR="00A652BD" w:rsidRDefault="00A65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63620">
    <w:abstractNumId w:val="8"/>
  </w:num>
  <w:num w:numId="2" w16cid:durableId="20010261">
    <w:abstractNumId w:val="6"/>
  </w:num>
  <w:num w:numId="3" w16cid:durableId="304626652">
    <w:abstractNumId w:val="5"/>
  </w:num>
  <w:num w:numId="4" w16cid:durableId="193270125">
    <w:abstractNumId w:val="4"/>
  </w:num>
  <w:num w:numId="5" w16cid:durableId="608507848">
    <w:abstractNumId w:val="7"/>
  </w:num>
  <w:num w:numId="6" w16cid:durableId="336814601">
    <w:abstractNumId w:val="3"/>
  </w:num>
  <w:num w:numId="7" w16cid:durableId="1344284495">
    <w:abstractNumId w:val="2"/>
  </w:num>
  <w:num w:numId="8" w16cid:durableId="277029385">
    <w:abstractNumId w:val="1"/>
  </w:num>
  <w:num w:numId="9" w16cid:durableId="15430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242"/>
    <w:rsid w:val="0029639D"/>
    <w:rsid w:val="003245DA"/>
    <w:rsid w:val="00326F90"/>
    <w:rsid w:val="00A652BD"/>
    <w:rsid w:val="00AA1D8D"/>
    <w:rsid w:val="00B47730"/>
    <w:rsid w:val="00B96E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FC05F"/>
  <w14:defaultImageDpi w14:val="300"/>
  <w15:docId w15:val="{4C66BECB-6F3B-49CB-9CBC-170BC0735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 Geo Johnson</cp:lastModifiedBy>
  <cp:revision>2</cp:revision>
  <dcterms:created xsi:type="dcterms:W3CDTF">2013-12-23T23:15:00Z</dcterms:created>
  <dcterms:modified xsi:type="dcterms:W3CDTF">2026-10-22T11:34:00Z</dcterms:modified>
  <cp:category/>
</cp:coreProperties>
</file>