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20</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and height, amongst other variables for street and park trees.</w:t>
      </w:r>
      <w:r>
        <w:t xml:space="preserve"> </w:t>
      </w:r>
      <w:r>
        <w:t xml:space="preserve">In a space-for-time substitution, growth of individual species can be assessed across the entire cite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and between rural and urban species, yet lacked spatially-explicit effect size estimates or predictions of maximum potential;</w:t>
      </w:r>
      <w:r>
        <w:t xml:space="preserve"> </w:t>
      </w:r>
      <w:r>
        <w:t xml:space="preserve">Pretzsch et al. (2017)</w:t>
      </w:r>
      <w:r>
        <w:t xml:space="preserve"> </w:t>
      </w:r>
      <w:r>
        <w:t xml:space="preserve">applied linear hierarchical models to infer growth modulation for different cities, time periods and locations (urban</w:t>
      </w:r>
      <w:r>
        <w:t xml:space="preserve"> </w:t>
      </w:r>
      <m:oMath>
        <m:r>
          <m:t>v</m:t>
        </m:r>
        <m:r>
          <m:t>s</m:t>
        </m:r>
        <m:r>
          <m:t>.</m:t>
        </m:r>
      </m:oMath>
      <w:r>
        <w:t xml:space="preserve"> </w:t>
      </w:r>
      <w:r>
        <w:t xml:space="preserve">rural).</w:t>
      </w:r>
    </w:p>
    <w:p>
      <w:pPr>
        <w:pStyle w:val="BodyText"/>
      </w:pPr>
      <w:r>
        <w:rPr>
          <w:b/>
        </w:rPr>
        <w:t xml:space="preserve">By contrast, we propose applying a statistical model that is spatially explicit, while also allowing to account for the nested nature of the data set (e.g. streets and districts) as well as other pertinent factors (hierarchical, generalized additive model, see Section</w:t>
      </w:r>
      <m:oMath>
        <m:r>
          <m:t> </m:t>
        </m:r>
      </m:oMath>
      <w:r>
        <w:rPr>
          <w:b/>
        </w:rPr>
        <w:t xml:space="preserve">2</w:t>
      </w:r>
      <w:r>
        <w:rPr>
          <w:b/>
        </w:rPr>
        <w:t xml:space="preserve">).</w:t>
      </w:r>
      <w:r>
        <w:rPr>
          <w:b/>
        </w:rPr>
        <w:t xml:space="preserve"> </w:t>
      </w:r>
      <w:r>
        <w:rPr>
          <w:b/>
        </w:rPr>
        <w:t xml:space="preserve">This also allows to infer the absolute growth potential of species given, for example, a specific location, age or UHI magnitude.</w:t>
      </w:r>
      <w:r>
        <w:t xml:space="preserve"> </w:t>
      </w:r>
      <w:r>
        <w:t xml:space="preserve">Tree-level growth data, however, is paramount in validating such relationships, and its inclusion in the model would also allow incorporating effects of varying climate.</w:t>
      </w:r>
    </w:p>
    <w:p>
      <w:pPr>
        <w:pStyle w:val="Heading1"/>
      </w:pPr>
      <w:bookmarkStart w:id="22" w:name="sec:methods"/>
      <w:r>
        <w:t xml:space="preserve">Proposed methods and data requirements</w:t>
      </w:r>
      <w:bookmarkEnd w:id="22"/>
    </w:p>
    <w:p>
      <w:pPr>
        <w:pStyle w:val="Heading2"/>
      </w:pPr>
      <w:bookmarkStart w:id="23" w:name="general-analyses"/>
      <w:r>
        <w:t xml:space="preserve">General analyses</w:t>
      </w:r>
      <w:bookmarkEnd w:id="23"/>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t>(</m:t>
          </m:r>
          <m:r>
            <m:t>Y</m:t>
          </m:r>
          <m:r>
            <m:t>)</m:t>
          </m:r>
          <m:r>
            <m:t> </m:t>
          </m:r>
          <m:r>
            <m:t>=</m:t>
          </m:r>
          <m:r>
            <m:t> </m:t>
          </m:r>
          <m:sSup>
            <m:e>
              <m:r>
                <m:t>g</m:t>
              </m:r>
            </m:e>
            <m:sup>
              <m:r>
                <m:t>−</m:t>
              </m:r>
              <m:r>
                <m:t>1</m:t>
              </m:r>
            </m:sup>
          </m:sSup>
          <m:d>
            <m:dPr>
              <m:begChr m:val="("/>
              <m:endChr m:val=")"/>
              <m:grow/>
            </m:dPr>
            <m:e>
              <m:sSub>
                <m:e>
                  <m:r>
                    <m:t>β</m:t>
                  </m:r>
                </m:e>
                <m:sub>
                  <m:r>
                    <m:t>0</m:t>
                  </m:r>
                </m:sub>
              </m:sSub>
              <m:r>
                <m:t>+</m:t>
              </m:r>
              <m:nary>
                <m:naryPr>
                  <m:chr m:val="∑"/>
                  <m:limLoc m:val="undOvr"/>
                  <m:subHide m:val="0"/>
                  <m:supHide m:val="0"/>
                </m:naryPr>
                <m:sub>
                  <m:r>
                    <m:t>i</m:t>
                  </m:r>
                  <m:r>
                    <m:t>=</m:t>
                  </m:r>
                  <m:r>
                    <m:t>1</m:t>
                  </m:r>
                </m:sub>
                <m:sup>
                  <m:r>
                    <m:t>n</m:t>
                  </m:r>
                </m:sup>
                <m:e>
                  <m:sSub>
                    <m:e>
                      <m:r>
                        <m:t>f</m:t>
                      </m:r>
                    </m:e>
                    <m:sub>
                      <m:r>
                        <m:t>i</m:t>
                      </m:r>
                    </m:sub>
                  </m:sSub>
                </m:e>
              </m:nary>
              <m:r>
                <m:t>(</m:t>
              </m:r>
              <m:sSub>
                <m:e>
                  <m:r>
                    <m:t>x</m:t>
                  </m:r>
                </m:e>
                <m:sub>
                  <m:r>
                    <m:t>i</m:t>
                  </m:r>
                </m:sub>
              </m:sSub>
              <m:r>
                <m:t>)</m:t>
              </m:r>
            </m:e>
          </m:d>
          <m:r>
            <m:t>,</m:t>
          </m:r>
        </m:oMath>
      </m:oMathPara>
    </w:p>
    <w:p>
      <w:pPr>
        <w:pStyle w:val="FirstParagraph"/>
      </w:pPr>
      <w:r>
        <w:t xml:space="preserve">and</w:t>
      </w:r>
    </w:p>
    <w:p>
      <w:pPr>
        <w:pStyle w:val="BodyText"/>
      </w:pPr>
      <m:oMathPara>
        <m:oMathParaPr>
          <m:jc m:val="center"/>
        </m:oMathParaPr>
        <m:oMath>
          <m:r>
            <m:t>y</m:t>
          </m:r>
          <m:r>
            <m:t> </m:t>
          </m:r>
          <m:r>
            <m:t>=</m:t>
          </m:r>
          <m:r>
            <m:t> </m:t>
          </m:r>
          <m:r>
            <m:t>E</m:t>
          </m:r>
          <m:r>
            <m:t>(</m:t>
          </m:r>
          <m:r>
            <m:t>Y</m:t>
          </m:r>
          <m:r>
            <m:t>)</m:t>
          </m:r>
          <m:r>
            <m:t>+</m:t>
          </m:r>
          <m:r>
            <m:t>ϵ</m:t>
          </m:r>
          <m: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t>∼</m:t>
        </m:r>
        <m:r>
          <m:rPr>
            <m:sty m:val="p"/>
            <m:scr m:val="script"/>
          </m:rPr>
          <m:t>N</m:t>
        </m:r>
        <m:r>
          <m:t>(</m:t>
        </m:r>
        <m:r>
          <m:t>0</m:t>
        </m:r>
        <m:r>
          <m:t>,</m:t>
        </m:r>
        <m:sSup>
          <m:e>
            <m:r>
              <m:t>σ</m:t>
            </m:r>
          </m:e>
          <m:sup>
            <m:r>
              <m:t>2</m:t>
            </m:r>
          </m:sup>
        </m:sSup>
        <m: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coeffecient:</w:t>
      </w:r>
    </w:p>
    <w:p>
      <w:pPr>
        <w:pStyle w:val="BodyText"/>
      </w:pPr>
      <m:oMathPara>
        <m:oMathParaPr>
          <m:jc m:val="center"/>
        </m:oMathParaPr>
        <m:oMath>
          <m:sSub>
            <m:e>
              <m:r>
                <m:t>f</m:t>
              </m:r>
            </m:e>
            <m:sub>
              <m:r>
                <m:t>i</m:t>
              </m:r>
            </m:sub>
          </m:sSub>
          <m:r>
            <m:t>(</m:t>
          </m:r>
          <m:sSub>
            <m:e>
              <m:r>
                <m:t>x</m:t>
              </m:r>
            </m:e>
            <m:sub>
              <m:r>
                <m:t>i</m:t>
              </m:r>
            </m:sub>
          </m:sSub>
          <m:r>
            <m:t>)</m:t>
          </m:r>
          <m:r>
            <m:t> </m:t>
          </m:r>
          <m:r>
            <m:t>=</m:t>
          </m:r>
          <m:r>
            <m:t> </m:t>
          </m:r>
          <m:nary>
            <m:naryPr>
              <m:chr m:val="∑"/>
              <m:limLoc m:val="undOvr"/>
              <m:subHide m:val="0"/>
              <m:supHide m:val="0"/>
            </m:naryPr>
            <m:sub>
              <m:r>
                <m:t>k</m:t>
              </m:r>
              <m:r>
                <m:t>=</m:t>
              </m:r>
              <m:r>
                <m:t>1</m:t>
              </m:r>
            </m:sub>
            <m:sup>
              <m:r>
                <m:t>K</m:t>
              </m:r>
            </m:sup>
            <m:e>
              <m:sSub>
                <m:e>
                  <m:r>
                    <m:t>β</m:t>
                  </m:r>
                </m:e>
                <m:sub>
                  <m:r>
                    <m:t>i</m:t>
                  </m:r>
                  <m:r>
                    <m:t>,</m:t>
                  </m:r>
                  <m:r>
                    <m:t>k</m:t>
                  </m:r>
                </m:sub>
              </m:sSub>
            </m:e>
          </m:nary>
          <m:sSub>
            <m:e>
              <m:r>
                <m:t>b</m:t>
              </m:r>
            </m:e>
            <m:sub>
              <m:r>
                <m:t>i</m:t>
              </m:r>
              <m:r>
                <m:t>,</m:t>
              </m:r>
              <m:r>
                <m:t>k</m:t>
              </m:r>
            </m:sub>
          </m:sSub>
          <m:r>
            <m:t>(</m:t>
          </m:r>
          <m:sSub>
            <m:e>
              <m:r>
                <m:t>x</m:t>
              </m:r>
            </m:e>
            <m:sub>
              <m:r>
                <m:t>i</m:t>
              </m:r>
            </m:sub>
          </m:sSub>
          <m:r>
            <m:t>)</m:t>
          </m:r>
          <m: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w:t>
      </w:r>
      <w:r>
        <w:t xml:space="preserve"> </w:t>
      </w:r>
      <w:r>
        <w:t xml:space="preserve">The general form of this model is:</w:t>
      </w:r>
    </w:p>
    <w:p>
      <w:pPr>
        <w:pStyle w:val="BodyText"/>
      </w:pPr>
      <m:oMathPara>
        <m:oMathParaPr>
          <m:jc m:val="center"/>
        </m:oMathParaPr>
        <m:oMath>
          <m:sSub>
            <m:e>
              <m:r>
                <m:t>Y</m:t>
              </m:r>
            </m:e>
            <m:sub>
              <m:r>
                <m:t>i</m:t>
              </m:r>
              <m:r>
                <m:t>,</m:t>
              </m:r>
              <m:r>
                <m:t>j</m:t>
              </m:r>
            </m:sub>
          </m:sSub>
          <m:r>
            <m:t>=</m:t>
          </m:r>
          <m:r>
            <m:t>(</m:t>
          </m:r>
          <m:sSub>
            <m:e>
              <m:r>
                <m:t>β</m:t>
              </m:r>
            </m:e>
            <m:sub>
              <m:r>
                <m:t>0</m:t>
              </m:r>
            </m:sub>
          </m:sSub>
          <m:r>
            <m:t>+</m:t>
          </m:r>
          <m:sSub>
            <m:e>
              <m:r>
                <m:t>b</m:t>
              </m:r>
            </m:e>
            <m:sub>
              <m:r>
                <m:t>0</m:t>
              </m:r>
              <m:r>
                <m:t>,</m:t>
              </m:r>
              <m:r>
                <m:t>i</m:t>
              </m:r>
              <m:r>
                <m:t>,</m:t>
              </m:r>
              <m:r>
                <m:t>j</m:t>
              </m:r>
            </m:sub>
          </m:sSub>
          <m:r>
            <m:t>)</m:t>
          </m:r>
          <m:r>
            <m:t>+</m:t>
          </m:r>
          <m:r>
            <m:t>(</m:t>
          </m:r>
          <m:sSub>
            <m:e>
              <m:r>
                <m:t>β</m:t>
              </m:r>
            </m:e>
            <m:sub>
              <m:r>
                <m:t>1</m:t>
              </m:r>
            </m:sub>
          </m:sSub>
          <m:r>
            <m:t>+</m:t>
          </m:r>
          <m:sSub>
            <m:e>
              <m:r>
                <m:t>b</m:t>
              </m:r>
            </m:e>
            <m:sub>
              <m:r>
                <m:t>1</m:t>
              </m:r>
              <m:r>
                <m:t>,</m:t>
              </m:r>
              <m:r>
                <m:t>i</m:t>
              </m:r>
              <m:r>
                <m:t>,</m:t>
              </m:r>
              <m:r>
                <m:t>j</m:t>
              </m:r>
            </m:sub>
          </m:sSub>
          <m:r>
            <m:t>)</m:t>
          </m:r>
          <m:r>
            <m:t>⋅</m:t>
          </m:r>
          <m:sSub>
            <m:e>
              <m:r>
                <m:t>x</m:t>
              </m:r>
            </m:e>
            <m:sub>
              <m:r>
                <m:t>i</m:t>
              </m:r>
            </m:sub>
          </m:sSub>
          <m:r>
            <m:t>+</m:t>
          </m:r>
          <m:sSub>
            <m:e>
              <m:r>
                <m:t>ϵ</m:t>
              </m:r>
            </m:e>
            <m:sub>
              <m:r>
                <m:t>i</m:t>
              </m:r>
              <m:r>
                <m:t>,</m:t>
              </m:r>
              <m:r>
                <m:t>j</m:t>
              </m:r>
            </m:sub>
          </m:sSub>
          <m: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t>∼</m:t>
        </m:r>
        <m:r>
          <m:rPr>
            <m:sty m:val="p"/>
            <m:scr m:val="script"/>
          </m:rPr>
          <m:t>N</m:t>
        </m:r>
        <m:r>
          <m:t>(</m:t>
        </m:r>
        <m:r>
          <m:t>0</m:t>
        </m:r>
        <m:r>
          <m:t>,</m:t>
        </m:r>
        <m:sSup>
          <m:e>
            <m:r>
              <m:t>τ</m:t>
            </m:r>
          </m:e>
          <m:sup>
            <m:r>
              <m:t>2</m:t>
            </m:r>
          </m:sup>
        </m:sSup>
        <m:r>
          <m:t>)</m:t>
        </m:r>
      </m:oMath>
      <w:r>
        <w:t xml:space="preserve">.</w:t>
      </w:r>
      <w:r>
        <w:t xml:space="preserve"> </w:t>
      </w:r>
      <w:r>
        <w:t xml:space="preserve">The model for which results are presented in Figure</w:t>
      </w:r>
      <m:oMath>
        <m:r>
          <m:t> </m:t>
        </m:r>
      </m:oMath>
      <w:r>
        <w:t xml:space="preserve">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modelled seperately.</w:t>
      </w:r>
      <w:r>
        <w:t xml:space="preserve"> </w:t>
      </w:r>
      <w:r>
        <w:t xml:space="preserve">Further, models were only established for species with at least 150 individuals.</w:t>
      </w:r>
    </w:p>
    <w:p>
      <w:pPr>
        <w:pStyle w:val="Heading2"/>
      </w:pPr>
      <w:bookmarkStart w:id="24" w:name="available-and-required-data"/>
      <w:r>
        <w:t xml:space="preserve">Available and required data</w:t>
      </w:r>
      <w:bookmarkEnd w:id="24"/>
    </w:p>
    <w:p>
      <w:pPr>
        <w:pStyle w:val="FirstParagraph"/>
      </w:pPr>
      <w:r>
        <w:t xml:space="preserve">Table</w:t>
      </w:r>
      <m:oMath>
        <m:r>
          <m:t> </m:t>
        </m:r>
      </m:oMath>
      <w:r>
        <w:t xml:space="preserve">??</w:t>
      </w:r>
      <w:r>
        <w:t xml:space="preserve"> </w:t>
      </w:r>
      <w:r>
        <w:t xml:space="preserve">provides a list with currently accessible/available data, including information on (desired) resolution, and sources.</w:t>
      </w:r>
    </w:p>
    <w:p>
      <w:pPr>
        <w:pStyle w:val="Heading1"/>
      </w:pPr>
      <w:bookmarkStart w:id="25" w:name="preliminary-results"/>
      <w:r>
        <w:t xml:space="preserve">Preliminary results</w:t>
      </w:r>
      <w:bookmarkEnd w:id="25"/>
    </w:p>
    <w:p>
      <w:pPr>
        <w:pStyle w:val="FirstParagraph"/>
      </w:pPr>
      <w:r>
        <w:t xml:space="preserve">Tree locations are clustered and follow spatial structures based on their category, i.e. riparian, street and park trees (Fig.</w:t>
      </w:r>
      <m:oMath>
        <m:r>
          <m:t> </m:t>
        </m:r>
      </m:oMath>
      <w:r>
        <w:t xml:space="preserve">1</w:t>
      </w:r>
      <w:r>
        <w:t xml:space="preserve">).</w:t>
      </w:r>
      <w:r>
        <w:t xml:space="preserve"> </w:t>
      </w:r>
      <w:r>
        <w:t xml:space="preserve">Planting in space and time shows species specific patterns, often related to major events, such as the start and end of wars, as well as the German separation.</w:t>
      </w:r>
    </w:p>
    <w:p>
      <w:pPr>
        <w:pStyle w:val="CaptionedFigure"/>
      </w:pPr>
      <w:r>
        <w:drawing>
          <wp:inline>
            <wp:extent cx="5334000" cy="1777999"/>
            <wp:effectExtent b="0" l="0" r="0" t="0"/>
            <wp:docPr descr="Figure 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6"/>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Gridded counts for the 11 most frequent genera, as well as</w:t>
      </w:r>
      <w:r>
        <w:t xml:space="preserve"> </w:t>
      </w:r>
      <w:r>
        <w:rPr>
          <w:i/>
        </w:rPr>
        <w:t xml:space="preserve">Pinus</w:t>
      </w:r>
      <w:r>
        <w:t xml:space="preserve"> </w:t>
      </w:r>
      <w:r>
        <w:t xml:space="preserve">and remaining genera. Note, that counts are standardized to unity for individual genera.</w:t>
      </w:r>
    </w:p>
    <w:p>
      <w:pPr>
        <w:pStyle w:val="BodyText"/>
      </w:pPr>
      <w:r>
        <w:t xml:space="preserve">The distribution of the urban heat island is highly irregular in space (Fig.</w:t>
      </w:r>
      <m:oMath>
        <m:r>
          <m:t> </m:t>
        </m:r>
      </m:oMath>
      <w:r>
        <w:t xml:space="preserve">3</w:t>
      </w:r>
      <w:r>
        <w:t xml:space="preserve">), and also shows variability through time (data not shown, refer to the</w:t>
      </w:r>
      <w:r>
        <w:t xml:space="preserve"> </w:t>
      </w:r>
      <w:hyperlink r:id="rId28">
        <w:r>
          <w:rPr>
            <w:rStyle w:val="Hyperlink"/>
          </w:rPr>
          <w:t xml:space="preserve">urban heat island explorer</w:t>
        </w:r>
      </w:hyperlink>
      <w:r>
        <w:t xml:space="preserve">).</w:t>
      </w:r>
    </w:p>
    <w:p>
      <w:pPr>
        <w:pStyle w:val="CaptionedFigure"/>
      </w:pPr>
      <w:r>
        <w:drawing>
          <wp:inline>
            <wp:extent cx="5334000" cy="5334000"/>
            <wp:effectExtent b="0" l="0" r="0" t="0"/>
            <wp:docPr descr="Figure 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represents the density across all three categories. Insets represent corresponding tree total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represents the density across all three categories. Insets represent corresponding tree totals.</w:t>
      </w:r>
    </w:p>
    <w:p>
      <w:pPr>
        <w:pStyle w:val="BodyText"/>
      </w:pPr>
      <w:r>
        <w:t xml:space="preserve">The effect of UHI loading on absolute growth potential varies between genera and species (Fig.</w:t>
      </w:r>
      <m:oMath>
        <m:r>
          <m:t> </m:t>
        </m:r>
      </m:oMath>
      <w:r>
        <w:t xml:space="preserve">5</w:t>
      </w:r>
      <w:r>
        <w:t xml:space="preserve">).</w:t>
      </w:r>
      <w:r>
        <w:t xml:space="preserve"> </w:t>
      </w:r>
      <w:r>
        <w:t xml:space="preserve">Most notably,</w:t>
      </w:r>
      <w:r>
        <w:t xml:space="preserve"> </w:t>
      </w:r>
      <w:r>
        <w:rPr>
          <w:i/>
        </w:rPr>
        <w:t xml:space="preserve">Quercus</w:t>
      </w:r>
      <w:r>
        <w:t xml:space="preserve">, the 3rd-most frequent genera, shows decreased absolute growth with increased UHI,</w:t>
      </w:r>
      <w:r>
        <w:t xml:space="preserve"> </w:t>
      </w:r>
      <w:r>
        <w:t xml:space="preserve">while the most frequent genera,</w:t>
      </w:r>
      <w:r>
        <w:t xml:space="preserve"> </w:t>
      </w:r>
      <w:r>
        <w:rPr>
          <w:i/>
        </w:rPr>
        <w:t xml:space="preserve">Tilia</w:t>
      </w:r>
      <w:r>
        <w:t xml:space="preserve"> </w:t>
      </w:r>
      <w:r>
        <w:t xml:space="preserve">clearly features enhanced growth.</w:t>
      </w:r>
      <w:r>
        <w:t xml:space="preserve"> </w:t>
      </w:r>
      <w:r>
        <w:t xml:space="preserve">Note, that the estimated effect sizes here are linear.</w:t>
      </w:r>
      <w:r>
        <w:t xml:space="preserve"> </w:t>
      </w:r>
      <w:r>
        <w:t xml:space="preserve">Temperature may excert a non-linear control on absolute growth, however, and hence, applying a method able to capture may result in altered presented effect sizes.</w:t>
      </w:r>
      <w:r>
        <w:t xml:space="preserve"> </w:t>
      </w:r>
      <w:r>
        <w:t xml:space="preserve">Additionally, if temperatures increase in the future under climate warming current future increases in under climate warming, any non-linear effects may become more enhanced, stressing the need for a more flexible model fit and structure.</w:t>
      </w:r>
    </w:p>
    <w:p>
      <w:pPr>
        <w:pStyle w:val="BodyText"/>
      </w:pPr>
      <w:r>
        <w:t xml:space="preserve">alter the (preliminary) results substantially</w:t>
      </w:r>
    </w:p>
    <w:p>
      <w:pPr>
        <w:pStyle w:val="CaptionedFigure"/>
      </w:pPr>
      <w:r>
        <w:drawing>
          <wp:inline>
            <wp:extent cx="5334000" cy="5334000"/>
            <wp:effectExtent b="0" l="0" r="0" t="0"/>
            <wp:docPr descr="Figure 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p>
      <w:pPr>
        <w:pStyle w:val="BodyText"/>
      </w:pPr>
      <w:r>
        <w:t xml:space="preserve">Figure</w:t>
      </w:r>
      <w:r>
        <w:t xml:space="preserve"> </w:t>
      </w:r>
      <w:r>
        <w:t xml:space="preserve">5</w:t>
      </w:r>
      <w:r>
        <w:t xml:space="preserve"> </w:t>
      </w:r>
      <w:r>
        <w:t xml:space="preserve">shows how we can have a caption and cross-reference for a plot</w:t>
      </w:r>
    </w:p>
    <w:p>
      <w:pPr>
        <w:pStyle w:val="Heading1"/>
      </w:pPr>
      <w:bookmarkStart w:id="32" w:name="outlook"/>
      <w:r>
        <w:t xml:space="preserve">Outlook</w:t>
      </w:r>
      <w:bookmarkEnd w:id="32"/>
    </w:p>
    <w:p>
      <w:pPr>
        <w:pStyle w:val="FirstParagraph"/>
      </w:pPr>
      <w:r>
        <w:t xml:space="preserve">We seek to build upon and improve the current analysis by:</w:t>
      </w:r>
    </w:p>
    <w:p>
      <w:pPr>
        <w:pStyle w:val="Compact"/>
        <w:numPr>
          <w:numId w:val="1001"/>
          <w:ilvl w:val="0"/>
        </w:numPr>
      </w:pPr>
      <w:r>
        <w:t xml:space="preserve">incorporating more pertinent covariates as dependent variables in the linear mixed model</w:t>
      </w:r>
    </w:p>
    <w:p>
      <w:pPr>
        <w:pStyle w:val="Compact"/>
        <w:numPr>
          <w:numId w:val="1001"/>
          <w:ilvl w:val="0"/>
        </w:numPr>
      </w:pPr>
      <w:r>
        <w:t xml:space="preserve">testing multiple model structures with formal model selection procedures</w:t>
      </w:r>
    </w:p>
    <w:p>
      <w:pPr>
        <w:pStyle w:val="Compact"/>
        <w:numPr>
          <w:numId w:val="1001"/>
          <w:ilvl w:val="0"/>
        </w:numPr>
      </w:pPr>
      <w:r>
        <w:t xml:space="preserve">checking model resiudals for spatial auto-correlation and accounting for it where necessary to ensure unbiased estimates of effect sizes</w:t>
      </w:r>
    </w:p>
    <w:p>
      <w:pPr>
        <w:pStyle w:val="Compact"/>
        <w:numPr>
          <w:numId w:val="1001"/>
          <w:ilvl w:val="0"/>
        </w:numPr>
      </w:pPr>
      <w:r>
        <w:t xml:space="preserve">repeating the above with a hierarchical GAM (i.e. GAMM) to allow for:</w:t>
      </w:r>
    </w:p>
    <w:p>
      <w:pPr>
        <w:pStyle w:val="Compact"/>
        <w:numPr>
          <w:numId w:val="1002"/>
          <w:ilvl w:val="1"/>
        </w:numPr>
      </w:pPr>
      <w:r>
        <w:t xml:space="preserve">estimating continuous prediction surfaces for UHI impacts on individual species’ growth (similar to results in Figure</w:t>
      </w:r>
      <m:oMath>
        <m:r>
          <m:t> </m:t>
        </m:r>
      </m:oMath>
      <w:r>
        <w:t xml:space="preserve">5</w:t>
      </w:r>
      <w:r>
        <w:t xml:space="preserve">) under recent conditions</w:t>
      </w:r>
    </w:p>
    <w:p>
      <w:pPr>
        <w:pStyle w:val="Compact"/>
        <w:numPr>
          <w:numId w:val="1002"/>
          <w:ilvl w:val="1"/>
        </w:numPr>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pStyle w:val="Compact"/>
        <w:numPr>
          <w:numId w:val="1002"/>
          <w:ilvl w:val="1"/>
        </w:numPr>
      </w:pPr>
      <w:r>
        <w:t xml:space="preserve">assess potential age-dependent UHI impacts on individual species.</w:t>
      </w:r>
    </w:p>
    <w:p>
      <w:pPr>
        <w:pStyle w:val="Heading1"/>
      </w:pPr>
      <w:bookmarkStart w:id="33" w:name="acknowledgements"/>
      <w:r>
        <w:t xml:space="preserve">Acknowledgements</w:t>
      </w:r>
      <w:bookmarkEnd w:id="33"/>
    </w:p>
    <w:p>
      <w:pPr>
        <w:pStyle w:val="Heading5"/>
      </w:pPr>
      <w:bookmarkStart w:id="34" w:name="pagebreak"/>
      <w:r>
        <w:t xml:space="preserve">pagebreak</w:t>
      </w:r>
      <w:bookmarkEnd w:id="34"/>
    </w:p>
    <w:p>
      <w:pPr>
        <w:pStyle w:val="Heading1"/>
      </w:pPr>
      <w:bookmarkStart w:id="35" w:name="references"/>
      <w:r>
        <w:t xml:space="preserve">References</w:t>
      </w:r>
      <w:bookmarkEnd w:id="35"/>
    </w:p>
    <w:bookmarkStart w:id="94" w:name="refs"/>
    <w:bookmarkStart w:id="37"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6">
        <w:r>
          <w:rPr>
            <w:rStyle w:val="Hyperlink"/>
          </w:rPr>
          <w:t xml:space="preserve">https://doi.org/10.1016/S0038-092X(00)00089-X</w:t>
        </w:r>
      </w:hyperlink>
    </w:p>
    <w:bookmarkEnd w:id="37"/>
    <w:bookmarkStart w:id="39" w:name="ref-augustin2009"/>
    <w:p>
      <w:pPr>
        <w:pStyle w:val="Bibliography"/>
      </w:pPr>
      <w:r>
        <w:t xml:space="preserve">Augustin, N.H., Musio, M., von Wilpert, K., Kublin, E., Wood, S.N., Schumacher, M., 2009. Modeling Spatiotemporal Forest Health Monitoring Data. Journal of the American Statistical Association 104, 899–911.</w:t>
      </w:r>
      <w:r>
        <w:t xml:space="preserve"> </w:t>
      </w:r>
      <w:hyperlink r:id="rId38">
        <w:r>
          <w:rPr>
            <w:rStyle w:val="Hyperlink"/>
          </w:rPr>
          <w:t xml:space="preserve">https://doi.org/10.1198/jasa.2009.ap07058</w:t>
        </w:r>
      </w:hyperlink>
    </w:p>
    <w:bookmarkEnd w:id="39"/>
    <w:bookmarkStart w:id="41" w:name="ref-bates2015"/>
    <w:p>
      <w:pPr>
        <w:pStyle w:val="Bibliography"/>
      </w:pPr>
      <w:r>
        <w:t xml:space="preserve">Bates, D., Mächler, M., Bolker, B., Walker, S., 2015. Fitting linear mixed-effects models using lme4. Journal of Statistical Software 67, 1–48.</w:t>
      </w:r>
      <w:r>
        <w:t xml:space="preserve"> </w:t>
      </w:r>
      <w:hyperlink r:id="rId40">
        <w:r>
          <w:rPr>
            <w:rStyle w:val="Hyperlink"/>
          </w:rPr>
          <w:t xml:space="preserve">https://doi.org/10.18637/jss.v067.i01</w:t>
        </w:r>
      </w:hyperlink>
    </w:p>
    <w:bookmarkEnd w:id="41"/>
    <w:bookmarkStart w:id="42"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42"/>
    <w:bookmarkStart w:id="44"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3">
        <w:r>
          <w:rPr>
            <w:rStyle w:val="Hyperlink"/>
          </w:rPr>
          <w:t xml:space="preserve">https://doi.org/10.1016/j.jag.2018.09.015</w:t>
        </w:r>
      </w:hyperlink>
    </w:p>
    <w:bookmarkEnd w:id="44"/>
    <w:bookmarkStart w:id="46" w:name="ref-dahlhausen2018"/>
    <w:p>
      <w:pPr>
        <w:pStyle w:val="Bibliography"/>
      </w:pPr>
      <w:r>
        <w:t xml:space="preserve">Dahlhausen, J., Rötzer, T., Biber, P., Uhl, E., Pretzsch, H., 2018. Urban climate modifies tree growth in Berlin. Int J Biometeorol 62, 795–808.</w:t>
      </w:r>
      <w:r>
        <w:t xml:space="preserve"> </w:t>
      </w:r>
      <w:hyperlink r:id="rId45">
        <w:r>
          <w:rPr>
            <w:rStyle w:val="Hyperlink"/>
          </w:rPr>
          <w:t xml:space="preserve">https://doi.org/10.1007/s00484-017-1481-3</w:t>
        </w:r>
      </w:hyperlink>
    </w:p>
    <w:bookmarkEnd w:id="46"/>
    <w:bookmarkStart w:id="47"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47"/>
    <w:bookmarkStart w:id="49"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48">
        <w:r>
          <w:rPr>
            <w:rStyle w:val="Hyperlink"/>
          </w:rPr>
          <w:t xml:space="preserve">https://doi.org/10.1016/j.uclim.2014.02.004</w:t>
        </w:r>
      </w:hyperlink>
    </w:p>
    <w:bookmarkEnd w:id="49"/>
    <w:bookmarkStart w:id="51"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50">
        <w:r>
          <w:rPr>
            <w:rStyle w:val="Hyperlink"/>
          </w:rPr>
          <w:t xml:space="preserve">https://doi.org/10.1007/s00468-014-1019-9</w:t>
        </w:r>
      </w:hyperlink>
    </w:p>
    <w:bookmarkEnd w:id="51"/>
    <w:bookmarkStart w:id="53"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2">
        <w:r>
          <w:rPr>
            <w:rStyle w:val="Hyperlink"/>
          </w:rPr>
          <w:t xml:space="preserve">https://doi.org/10.1016/j.landurbplan.2015.06.005</w:t>
        </w:r>
      </w:hyperlink>
    </w:p>
    <w:bookmarkEnd w:id="53"/>
    <w:bookmarkStart w:id="55"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54">
        <w:r>
          <w:rPr>
            <w:rStyle w:val="Hyperlink"/>
          </w:rPr>
          <w:t xml:space="preserve">https://doi.org/10.3354/cr006045</w:t>
        </w:r>
      </w:hyperlink>
    </w:p>
    <w:bookmarkEnd w:id="55"/>
    <w:bookmarkStart w:id="57"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56">
        <w:r>
          <w:rPr>
            <w:rStyle w:val="Hyperlink"/>
          </w:rPr>
          <w:t xml:space="preserve">https://doi.org/10.1016/j.buildenv.2005.07.001</w:t>
        </w:r>
      </w:hyperlink>
    </w:p>
    <w:bookmarkEnd w:id="57"/>
    <w:bookmarkStart w:id="59" w:name="ref-hertel2019"/>
    <w:p>
      <w:pPr>
        <w:pStyle w:val="Bibliography"/>
      </w:pPr>
      <w:r>
        <w:t xml:space="preserve">Hertel, D., Schlink, U., 2019. Decomposition of urban temperatures for targeted climate change adaptation. Environmental Modelling &amp; Software 113, 20–28.</w:t>
      </w:r>
      <w:r>
        <w:t xml:space="preserve"> </w:t>
      </w:r>
      <w:hyperlink r:id="rId58">
        <w:r>
          <w:rPr>
            <w:rStyle w:val="Hyperlink"/>
          </w:rPr>
          <w:t xml:space="preserve">https://doi.org/10.1016/j.envsoft.2018.11.015</w:t>
        </w:r>
      </w:hyperlink>
    </w:p>
    <w:bookmarkEnd w:id="59"/>
    <w:bookmarkStart w:id="61"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60">
        <w:r>
          <w:rPr>
            <w:rStyle w:val="Hyperlink"/>
          </w:rPr>
          <w:t xml:space="preserve">https://doi.org/10.1016/0378-7788(88)90035-7</w:t>
        </w:r>
      </w:hyperlink>
    </w:p>
    <w:bookmarkEnd w:id="61"/>
    <w:bookmarkStart w:id="63" w:name="ref-jia2018"/>
    <w:p>
      <w:pPr>
        <w:pStyle w:val="Bibliography"/>
      </w:pPr>
      <w:r>
        <w:t xml:space="preserve">Jia, W., Zhao, S., Liu, S., 2018. Vegetation growth enhancement in urban environments of the Conterminous United States. Global Change Biology 24, 4084–4094.</w:t>
      </w:r>
      <w:r>
        <w:t xml:space="preserve"> </w:t>
      </w:r>
      <w:hyperlink r:id="rId62">
        <w:r>
          <w:rPr>
            <w:rStyle w:val="Hyperlink"/>
          </w:rPr>
          <w:t xml:space="preserve">https://doi.org/10.1111/gcb.14317</w:t>
        </w:r>
      </w:hyperlink>
    </w:p>
    <w:bookmarkEnd w:id="63"/>
    <w:bookmarkStart w:id="64" w:name="ref-kuttler2015"/>
    <w:p>
      <w:pPr>
        <w:pStyle w:val="Bibliography"/>
      </w:pPr>
      <w:r>
        <w:t xml:space="preserve">Kuttler, W., Miethke, A., Dütemeyer, D., Barlag, A.-B. (Eds.), 2015. Das klima von essen = the climate of essen. Westarp Wiss., Hohenwarsleben.</w:t>
      </w:r>
    </w:p>
    <w:bookmarkEnd w:id="64"/>
    <w:bookmarkStart w:id="66" w:name="ref-maras2016"/>
    <w:p>
      <w:pPr>
        <w:pStyle w:val="Bibliography"/>
      </w:pPr>
      <w:r>
        <w:t xml:space="preserve">Maras, I., Schmidt, T., Paas, B., Ziefle, M., Schneider, C., 2016. The impact of human-biometeorological factors on perceived thermal comfort in urban public places.</w:t>
      </w:r>
      <w:r>
        <w:t xml:space="preserve"> </w:t>
      </w:r>
      <w:hyperlink r:id="rId65">
        <w:r>
          <w:rPr>
            <w:rStyle w:val="Hyperlink"/>
          </w:rPr>
          <w:t xml:space="preserve">https://doi.org/http://dx.doi.org/10.18452/18162</w:t>
        </w:r>
      </w:hyperlink>
    </w:p>
    <w:bookmarkEnd w:id="66"/>
    <w:bookmarkStart w:id="68" w:name="ref-mayer1987"/>
    <w:p>
      <w:pPr>
        <w:pStyle w:val="Bibliography"/>
      </w:pPr>
      <w:r>
        <w:t xml:space="preserve">Mayer, H., Höppe, P., 1987. Thermal comfort of man in different urban environments. Theor Appl Climatol 38, 43–49.</w:t>
      </w:r>
      <w:r>
        <w:t xml:space="preserve"> </w:t>
      </w:r>
      <w:hyperlink r:id="rId67">
        <w:r>
          <w:rPr>
            <w:rStyle w:val="Hyperlink"/>
          </w:rPr>
          <w:t xml:space="preserve">https://doi.org/10.1007/BF00866252</w:t>
        </w:r>
      </w:hyperlink>
    </w:p>
    <w:bookmarkEnd w:id="68"/>
    <w:bookmarkStart w:id="70"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9">
        <w:r>
          <w:rPr>
            <w:rStyle w:val="Hyperlink"/>
          </w:rPr>
          <w:t xml:space="preserve">https://doi.org/10.1016/j.landurbplan.2018.11.004</w:t>
        </w:r>
      </w:hyperlink>
    </w:p>
    <w:bookmarkEnd w:id="70"/>
    <w:bookmarkStart w:id="72"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71">
        <w:r>
          <w:rPr>
            <w:rStyle w:val="Hyperlink"/>
          </w:rPr>
          <w:t xml:space="preserve">https://doi.org/10.1016/j.landurbplan.2014.10.018</w:t>
        </w:r>
      </w:hyperlink>
    </w:p>
    <w:bookmarkEnd w:id="72"/>
    <w:bookmarkStart w:id="74" w:name="ref-oke1982"/>
    <w:p>
      <w:pPr>
        <w:pStyle w:val="Bibliography"/>
      </w:pPr>
      <w:r>
        <w:t xml:space="preserve">Oke, T.R., 1982. The energetic basis of the urban heat island. Quarterly Journal of the Royal Meteorological Society 108, 1–24.</w:t>
      </w:r>
      <w:r>
        <w:t xml:space="preserve"> </w:t>
      </w:r>
      <w:hyperlink r:id="rId73">
        <w:r>
          <w:rPr>
            <w:rStyle w:val="Hyperlink"/>
          </w:rPr>
          <w:t xml:space="preserve">https://doi.org/10.1002/qj.49710845502</w:t>
        </w:r>
      </w:hyperlink>
    </w:p>
    <w:bookmarkEnd w:id="74"/>
    <w:bookmarkStart w:id="76"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75">
        <w:r>
          <w:rPr>
            <w:rStyle w:val="Hyperlink"/>
          </w:rPr>
          <w:t xml:space="preserve">https://doi.org/10.1078/1618-8667-00009</w:t>
        </w:r>
      </w:hyperlink>
    </w:p>
    <w:bookmarkEnd w:id="76"/>
    <w:bookmarkStart w:id="78" w:name="ref-pedersen2019"/>
    <w:p>
      <w:pPr>
        <w:pStyle w:val="Bibliography"/>
      </w:pPr>
      <w:r>
        <w:t xml:space="preserve">Pedersen, E.J., Miller, D.L., Simpson, G.L., Ross, N., 2019. Hierarchical generalized additive models in ecology: An introduction with mgcv. PeerJ 7, e6876.</w:t>
      </w:r>
      <w:r>
        <w:t xml:space="preserve"> </w:t>
      </w:r>
      <w:hyperlink r:id="rId77">
        <w:r>
          <w:rPr>
            <w:rStyle w:val="Hyperlink"/>
          </w:rPr>
          <w:t xml:space="preserve">https://doi.org/10.7717/peerj.6876</w:t>
        </w:r>
      </w:hyperlink>
    </w:p>
    <w:bookmarkEnd w:id="78"/>
    <w:bookmarkStart w:id="80"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9">
        <w:r>
          <w:rPr>
            <w:rStyle w:val="Hyperlink"/>
          </w:rPr>
          <w:t xml:space="preserve">https://doi.org/10.1038/s41598-017-14831-w</w:t>
        </w:r>
      </w:hyperlink>
    </w:p>
    <w:bookmarkEnd w:id="80"/>
    <w:bookmarkStart w:id="82" w:name="ref-quigley2004"/>
    <w:p>
      <w:pPr>
        <w:pStyle w:val="Bibliography"/>
      </w:pPr>
      <w:r>
        <w:t xml:space="preserve">Quigley, M.F., 2004. Street trees and rural conspecifics: Will long-lived trees reach full size in urban conditions? Urban Ecosystems 7, 29–39.</w:t>
      </w:r>
      <w:r>
        <w:t xml:space="preserve"> </w:t>
      </w:r>
      <w:hyperlink r:id="rId81">
        <w:r>
          <w:rPr>
            <w:rStyle w:val="Hyperlink"/>
          </w:rPr>
          <w:t xml:space="preserve">https://doi.org/10.1023/B:UECO.0000020170.58404.e9</w:t>
        </w:r>
      </w:hyperlink>
    </w:p>
    <w:bookmarkEnd w:id="82"/>
    <w:bookmarkStart w:id="84" w:name="ref-randrup2001"/>
    <w:p>
      <w:pPr>
        <w:pStyle w:val="Bibliography"/>
      </w:pPr>
      <w:r>
        <w:t xml:space="preserve">Randrup, T.B., McPherson, E.G., Costello, L.R., 2001. A review of tree root conflicts with sidewalks, curbs, and roads. Urban Ecosystems 5, 209–225.</w:t>
      </w:r>
      <w:r>
        <w:t xml:space="preserve"> </w:t>
      </w:r>
      <w:hyperlink r:id="rId83">
        <w:r>
          <w:rPr>
            <w:rStyle w:val="Hyperlink"/>
          </w:rPr>
          <w:t xml:space="preserve">https://doi.org/10.1023/A:1024046004731</w:t>
        </w:r>
      </w:hyperlink>
    </w:p>
    <w:bookmarkEnd w:id="84"/>
    <w:bookmarkStart w:id="85" w:name="ref-rcoreteam2020"/>
    <w:p>
      <w:pPr>
        <w:pStyle w:val="Bibliography"/>
      </w:pPr>
      <w:r>
        <w:t xml:space="preserve">R Core Team, 2020. R: A language and environment for statistical computing. R Foundation for Statistical Computing, Vienna, Austria.</w:t>
      </w:r>
    </w:p>
    <w:bookmarkEnd w:id="85"/>
    <w:bookmarkStart w:id="86" w:name="ref-rhoades1999"/>
    <w:p>
      <w:pPr>
        <w:pStyle w:val="Bibliography"/>
      </w:pPr>
      <w:r>
        <w:t xml:space="preserve">Rhoades, R.W., Stipes, R.J., 1999. Growth of trees on the Virgina Tech Campus in response to various factors 7.</w:t>
      </w:r>
    </w:p>
    <w:bookmarkEnd w:id="86"/>
    <w:bookmarkStart w:id="88" w:name="ref-roloff2009"/>
    <w:p>
      <w:pPr>
        <w:pStyle w:val="Bibliography"/>
      </w:pPr>
      <w:r>
        <w:t xml:space="preserve">Roloff, A., Korn, S., Gillner, S., 2009. The Climate-Species-Matrix to select tree species for urban habitats considering climate change. Urban Forestry &amp; Urban Greening 8, 295–308.</w:t>
      </w:r>
      <w:r>
        <w:t xml:space="preserve"> </w:t>
      </w:r>
      <w:hyperlink r:id="rId87">
        <w:r>
          <w:rPr>
            <w:rStyle w:val="Hyperlink"/>
          </w:rPr>
          <w:t xml:space="preserve">https://doi.org/10.1016/j.ufug.2009.08.002</w:t>
        </w:r>
      </w:hyperlink>
    </w:p>
    <w:bookmarkEnd w:id="88"/>
    <w:bookmarkStart w:id="90"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89">
        <w:r>
          <w:rPr>
            <w:rStyle w:val="Hyperlink"/>
          </w:rPr>
          <w:t xml:space="preserve">https://doi.org/10.1016/j.landurbplan.2007.02.001</w:t>
        </w:r>
      </w:hyperlink>
    </w:p>
    <w:bookmarkEnd w:id="90"/>
    <w:bookmarkStart w:id="91" w:name="ref-wood2017"/>
    <w:p>
      <w:pPr>
        <w:pStyle w:val="Bibliography"/>
      </w:pPr>
      <w:r>
        <w:t xml:space="preserve">Wood, S.N., 2017. Generalized additive models: An introduction with R. CRC press.</w:t>
      </w:r>
    </w:p>
    <w:bookmarkEnd w:id="91"/>
    <w:bookmarkStart w:id="93" w:name="ref-zhao2016"/>
    <w:p>
      <w:pPr>
        <w:pStyle w:val="Bibliography"/>
      </w:pPr>
      <w:r>
        <w:t xml:space="preserve">Zhao, S., Liu, S., Zhou, D., 2016. Prevalent vegetation growth enhancement in urban environment. PNAS 113, 6313–6318.</w:t>
      </w:r>
      <w:r>
        <w:t xml:space="preserve"> </w:t>
      </w:r>
      <w:hyperlink r:id="rId92">
        <w:r>
          <w:rPr>
            <w:rStyle w:val="Hyperlink"/>
          </w:rPr>
          <w:t xml:space="preserve">https://doi.org/10.1073/pnas.1602312113</w:t>
        </w:r>
      </w:hyperlink>
    </w:p>
    <w:bookmarkEnd w:id="93"/>
    <w:bookmarkEnd w:id="94"/>
    <w:p>
      <w:pPr>
        <w:pStyle w:val="Heading5"/>
      </w:pPr>
      <w:bookmarkStart w:id="95" w:name="pagebreak-1"/>
      <w:r>
        <w:t xml:space="preserve">pagebreak</w:t>
      </w:r>
      <w:bookmarkEnd w:id="95"/>
    </w:p>
    <w:p>
      <w:pPr>
        <w:pStyle w:val="Heading3"/>
      </w:pPr>
      <w:bookmarkStart w:id="96" w:name="colophon"/>
      <w:r>
        <w:t xml:space="preserve">Colophon</w:t>
      </w:r>
      <w:bookmarkEnd w:id="96"/>
    </w:p>
    <w:p>
      <w:pPr>
        <w:pStyle w:val="FirstParagraph"/>
      </w:pPr>
      <w:r>
        <w:t xml:space="preserve">This report was generated on 2020-03-20 19:17:22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2020-03-20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2020-03-20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data.table     1.12.8     2019-12-09 [1] CRAN (R 3.6.3)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1.3.2      2020-03-05 [1] CRAN (R 3.6.3)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2020-03-12 [1] Github (tidyverse/ggplot2@86c6ec1)</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1.3.2      2020-03-12 [1] CRAN (R 3.6.3)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kableExtra   * 1.1.0      2019-03-16 [1] CRAN (R 3.6.3)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0.2.0      2020-03-06 [1] CRAN (R 3.6.3)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readr          1.3.1      2018-12-21 [1] CRAN (R 3.6.3)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rvest          0.3.5      2019-11-08 [1] CRAN (R 3.6.3)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0.2.4      2020-03-10 [1] CRAN (R 3.6.3)                    </w:t>
      </w:r>
      <w:r>
        <w:br/>
      </w:r>
      <w:r>
        <w:rPr>
          <w:rStyle w:val="VerbatimChar"/>
        </w:rPr>
        <w:t xml:space="preserve">#&gt;  viridisLite    0.3.0      2018-02-01 [1] CRAN (R 3.6.2)                    </w:t>
      </w:r>
      <w:r>
        <w:br/>
      </w:r>
      <w:r>
        <w:rPr>
          <w:rStyle w:val="VerbatimChar"/>
        </w:rPr>
        <w:t xml:space="preserve">#&gt;  webshot        0.5.2      2019-11-22 [1] CRAN (R 3.6.3)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xml2           1.2.5      2020-03-11 [1] CRAN (R 3.6.3)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[3fcb46e] 2020-03-09: updated methods brief</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73" Target="https://doi.org/10.1002/qj.49710845502" TargetMode="External" /><Relationship Type="http://schemas.openxmlformats.org/officeDocument/2006/relationships/hyperlink" Id="rId67" Target="https://doi.org/10.1007/BF00866252" TargetMode="External" /><Relationship Type="http://schemas.openxmlformats.org/officeDocument/2006/relationships/hyperlink" Id="rId50" Target="https://doi.org/10.1007/s00468-014-1019-9" TargetMode="External" /><Relationship Type="http://schemas.openxmlformats.org/officeDocument/2006/relationships/hyperlink" Id="rId45" Target="https://doi.org/10.1007/s00484-017-1481-3" TargetMode="External" /><Relationship Type="http://schemas.openxmlformats.org/officeDocument/2006/relationships/hyperlink" Id="rId60"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56" Target="https://doi.org/10.1016/j.buildenv.2005.07.001" TargetMode="External" /><Relationship Type="http://schemas.openxmlformats.org/officeDocument/2006/relationships/hyperlink" Id="rId58" Target="https://doi.org/10.1016/j.envsoft.2018.11.015" TargetMode="External" /><Relationship Type="http://schemas.openxmlformats.org/officeDocument/2006/relationships/hyperlink" Id="rId43" Target="https://doi.org/10.1016/j.jag.2018.09.015" TargetMode="External" /><Relationship Type="http://schemas.openxmlformats.org/officeDocument/2006/relationships/hyperlink" Id="rId89" Target="https://doi.org/10.1016/j.landurbplan.2007.02.001" TargetMode="External" /><Relationship Type="http://schemas.openxmlformats.org/officeDocument/2006/relationships/hyperlink" Id="rId71" Target="https://doi.org/10.1016/j.landurbplan.2014.10.018" TargetMode="External" /><Relationship Type="http://schemas.openxmlformats.org/officeDocument/2006/relationships/hyperlink" Id="rId52" Target="https://doi.org/10.1016/j.landurbplan.2015.06.005" TargetMode="External" /><Relationship Type="http://schemas.openxmlformats.org/officeDocument/2006/relationships/hyperlink" Id="rId69" Target="https://doi.org/10.1016/j.landurbplan.2018.11.004" TargetMode="External" /><Relationship Type="http://schemas.openxmlformats.org/officeDocument/2006/relationships/hyperlink" Id="rId48" Target="https://doi.org/10.1016/j.uclim.2014.02.004" TargetMode="External" /><Relationship Type="http://schemas.openxmlformats.org/officeDocument/2006/relationships/hyperlink" Id="rId87" Target="https://doi.org/10.1016/j.ufug.2009.08.002" TargetMode="External" /><Relationship Type="http://schemas.openxmlformats.org/officeDocument/2006/relationships/hyperlink" Id="rId83" Target="https://doi.org/10.1023/A:1024046004731" TargetMode="External" /><Relationship Type="http://schemas.openxmlformats.org/officeDocument/2006/relationships/hyperlink" Id="rId81" Target="https://doi.org/10.1023/B:UECO.0000020170.58404.e9" TargetMode="External" /><Relationship Type="http://schemas.openxmlformats.org/officeDocument/2006/relationships/hyperlink" Id="rId79" Target="https://doi.org/10.1038/s41598-017-14831-w" TargetMode="External" /><Relationship Type="http://schemas.openxmlformats.org/officeDocument/2006/relationships/hyperlink" Id="rId92" Target="https://doi.org/10.1073/pnas.1602312113" TargetMode="External" /><Relationship Type="http://schemas.openxmlformats.org/officeDocument/2006/relationships/hyperlink" Id="rId75" Target="https://doi.org/10.1078/1618-8667-00009" TargetMode="External" /><Relationship Type="http://schemas.openxmlformats.org/officeDocument/2006/relationships/hyperlink" Id="rId62" Target="https://doi.org/10.1111/gcb.14317"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4" Target="https://doi.org/10.3354/cr006045" TargetMode="External" /><Relationship Type="http://schemas.openxmlformats.org/officeDocument/2006/relationships/hyperlink" Id="rId77" Target="https://doi.org/10.7717/peerj.6876" TargetMode="External" /><Relationship Type="http://schemas.openxmlformats.org/officeDocument/2006/relationships/hyperlink" Id="rId65"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73" Target="https://doi.org/10.1002/qj.49710845502" TargetMode="External" /><Relationship Type="http://schemas.openxmlformats.org/officeDocument/2006/relationships/hyperlink" Id="rId67" Target="https://doi.org/10.1007/BF00866252" TargetMode="External" /><Relationship Type="http://schemas.openxmlformats.org/officeDocument/2006/relationships/hyperlink" Id="rId50" Target="https://doi.org/10.1007/s00468-014-1019-9" TargetMode="External" /><Relationship Type="http://schemas.openxmlformats.org/officeDocument/2006/relationships/hyperlink" Id="rId45" Target="https://doi.org/10.1007/s00484-017-1481-3" TargetMode="External" /><Relationship Type="http://schemas.openxmlformats.org/officeDocument/2006/relationships/hyperlink" Id="rId60"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56" Target="https://doi.org/10.1016/j.buildenv.2005.07.001" TargetMode="External" /><Relationship Type="http://schemas.openxmlformats.org/officeDocument/2006/relationships/hyperlink" Id="rId58" Target="https://doi.org/10.1016/j.envsoft.2018.11.015" TargetMode="External" /><Relationship Type="http://schemas.openxmlformats.org/officeDocument/2006/relationships/hyperlink" Id="rId43" Target="https://doi.org/10.1016/j.jag.2018.09.015" TargetMode="External" /><Relationship Type="http://schemas.openxmlformats.org/officeDocument/2006/relationships/hyperlink" Id="rId89" Target="https://doi.org/10.1016/j.landurbplan.2007.02.001" TargetMode="External" /><Relationship Type="http://schemas.openxmlformats.org/officeDocument/2006/relationships/hyperlink" Id="rId71" Target="https://doi.org/10.1016/j.landurbplan.2014.10.018" TargetMode="External" /><Relationship Type="http://schemas.openxmlformats.org/officeDocument/2006/relationships/hyperlink" Id="rId52" Target="https://doi.org/10.1016/j.landurbplan.2015.06.005" TargetMode="External" /><Relationship Type="http://schemas.openxmlformats.org/officeDocument/2006/relationships/hyperlink" Id="rId69" Target="https://doi.org/10.1016/j.landurbplan.2018.11.004" TargetMode="External" /><Relationship Type="http://schemas.openxmlformats.org/officeDocument/2006/relationships/hyperlink" Id="rId48" Target="https://doi.org/10.1016/j.uclim.2014.02.004" TargetMode="External" /><Relationship Type="http://schemas.openxmlformats.org/officeDocument/2006/relationships/hyperlink" Id="rId87" Target="https://doi.org/10.1016/j.ufug.2009.08.002" TargetMode="External" /><Relationship Type="http://schemas.openxmlformats.org/officeDocument/2006/relationships/hyperlink" Id="rId83" Target="https://doi.org/10.1023/A:1024046004731" TargetMode="External" /><Relationship Type="http://schemas.openxmlformats.org/officeDocument/2006/relationships/hyperlink" Id="rId81" Target="https://doi.org/10.1023/B:UECO.0000020170.58404.e9" TargetMode="External" /><Relationship Type="http://schemas.openxmlformats.org/officeDocument/2006/relationships/hyperlink" Id="rId79" Target="https://doi.org/10.1038/s41598-017-14831-w" TargetMode="External" /><Relationship Type="http://schemas.openxmlformats.org/officeDocument/2006/relationships/hyperlink" Id="rId92" Target="https://doi.org/10.1073/pnas.1602312113" TargetMode="External" /><Relationship Type="http://schemas.openxmlformats.org/officeDocument/2006/relationships/hyperlink" Id="rId75" Target="https://doi.org/10.1078/1618-8667-00009" TargetMode="External" /><Relationship Type="http://schemas.openxmlformats.org/officeDocument/2006/relationships/hyperlink" Id="rId62" Target="https://doi.org/10.1111/gcb.14317"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4" Target="https://doi.org/10.3354/cr006045" TargetMode="External" /><Relationship Type="http://schemas.openxmlformats.org/officeDocument/2006/relationships/hyperlink" Id="rId77" Target="https://doi.org/10.7717/peerj.6876" TargetMode="External" /><Relationship Type="http://schemas.openxmlformats.org/officeDocument/2006/relationships/hyperlink" Id="rId65"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Geoforschungszentrum Potsdam, Section 4.3, Germany; * Corresponding author: hurley@gfz-potsdam.de</dc:creator>
  <cp:keywords/>
  <dcterms:created xsi:type="dcterms:W3CDTF">2020-03-20T18:17:31Z</dcterms:created>
  <dcterms:modified xsi:type="dcterms:W3CDTF">2020-03-20T18:17:31Z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20 March, 2020</vt:lpwstr>
  </property>
  <property fmtid="{D5CDD505-2E9C-101B-9397-08002B2CF9AE}" pid="6" name="highlights">
    <vt:lpwstr>We will see.</vt:lpwstr>
  </property>
  <property fmtid="{D5CDD505-2E9C-101B-9397-08002B2CF9AE}" pid="7" name="output">
    <vt:lpwstr/>
  </property>
</Properties>
</file>