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r>
        <w:t xml:space="preserve">,</w:t>
      </w:r>
      <w:r>
        <w:t xml:space="preserve"> </w:t>
      </w:r>
      <w:r>
        <w:t xml:space="preserve">…</w:t>
      </w:r>
    </w:p>
    <w:p>
      <w:pPr>
        <w:pStyle w:val="Author"/>
      </w:pPr>
      <m:oMath>
        <m:sSup>
          <m:e>
            <m:r>
              <m:t>​</m:t>
            </m:r>
          </m:e>
          <m:sup>
            <m:r>
              <m:t>a</m:t>
            </m:r>
          </m:sup>
        </m:sSup>
      </m:oMath>
      <w: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04</w:t>
      </w:r>
      <w:r>
        <w:t xml:space="preserve"> </w:t>
      </w:r>
      <w:r>
        <w:t xml:space="preserve">June,</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outlines</w:t>
      </w:r>
      <w:r>
        <w:rPr>
          <w:b/>
        </w:rPr>
        <w:t xml:space="preserve"> </w:t>
      </w:r>
      <w:r>
        <w:rPr>
          <w:b/>
        </w:rPr>
        <w:t xml:space="preserve">the</w:t>
      </w:r>
      <w:r>
        <w:rPr>
          <w:b/>
        </w:rPr>
        <w:t xml:space="preserve"> </w:t>
      </w:r>
      <w:r>
        <w:rPr>
          <w:b/>
        </w:rPr>
        <w:t xml:space="preserve">rationale</w:t>
      </w:r>
      <w:r>
        <w:rPr>
          <w:b/>
        </w:rPr>
        <w:t xml:space="preserve"> </w:t>
      </w:r>
      <w:r>
        <w:rPr>
          <w:b/>
        </w:rPr>
        <w:t xml:space="preserve">for</w:t>
      </w:r>
      <w:r>
        <w:rPr>
          <w:b/>
        </w:rPr>
        <w:t xml:space="preserve"> </w:t>
      </w:r>
      <w:r>
        <w:rPr>
          <w:b/>
        </w:rPr>
        <w:t xml:space="preserve">an</w:t>
      </w:r>
      <w:r>
        <w:rPr>
          <w:b/>
        </w:rPr>
        <w:t xml:space="preserve"> </w:t>
      </w:r>
      <w:r>
        <w:rPr>
          <w:b/>
        </w:rPr>
        <w:t xml:space="preserve">analysis</w:t>
      </w:r>
      <w:r>
        <w:rPr>
          <w:b/>
        </w:rPr>
        <w:t xml:space="preserve"> </w:t>
      </w:r>
      <w:r>
        <w:rPr>
          <w:b/>
        </w:rPr>
        <w:t xml:space="preserve">of</w:t>
      </w:r>
      <w:r>
        <w:rPr>
          <w:b/>
        </w:rPr>
        <w:t xml:space="preserve"> </w:t>
      </w:r>
      <w:r>
        <w:rPr>
          <w:b/>
        </w:rPr>
        <w:t xml:space="preserve">tree</w:t>
      </w:r>
      <w:r>
        <w:rPr>
          <w:b/>
        </w:rPr>
        <w:t xml:space="preserve"> </w:t>
      </w:r>
      <w:r>
        <w:rPr>
          <w:b/>
        </w:rPr>
        <w:t xml:space="preserve">growth</w:t>
      </w:r>
      <w:r>
        <w:rPr>
          <w:b/>
        </w:rPr>
        <w:t xml:space="preserve"> </w:t>
      </w:r>
      <w:r>
        <w:rPr>
          <w:b/>
        </w:rPr>
        <w:t xml:space="preserve">(potential)</w:t>
      </w:r>
      <w:r>
        <w:rPr>
          <w:b/>
        </w:rPr>
        <w:t xml:space="preserve"> </w:t>
      </w:r>
      <w:r>
        <w:rPr>
          <w:b/>
        </w:rPr>
        <w:t xml:space="preserve">and</w:t>
      </w:r>
      <w:r>
        <w:rPr>
          <w:b/>
        </w:rPr>
        <w:t xml:space="preserve"> </w:t>
      </w:r>
      <w:r>
        <w:rPr>
          <w:b/>
        </w:rPr>
        <w:t xml:space="preserve">its</w:t>
      </w:r>
      <w:r>
        <w:rPr>
          <w:b/>
        </w:rPr>
        <w:t xml:space="preserve"> </w:t>
      </w:r>
      <w:r>
        <w:rPr>
          <w:b/>
        </w:rPr>
        <w:t xml:space="preserve">relationship</w:t>
      </w:r>
      <w:r>
        <w:rPr>
          <w:b/>
        </w:rPr>
        <w:t xml:space="preserve"> </w:t>
      </w:r>
      <w:r>
        <w:rPr>
          <w:b/>
        </w:rPr>
        <w:t xml:space="preserve">with</w:t>
      </w:r>
      <w:r>
        <w:rPr>
          <w:b/>
        </w:rPr>
        <w:t xml:space="preserve"> </w:t>
      </w:r>
      <w:r>
        <w:rPr>
          <w:b/>
        </w:rPr>
        <w:t xml:space="preserve">the</w:t>
      </w:r>
      <w:r>
        <w:rPr>
          <w:b/>
        </w:rPr>
        <w:t xml:space="preserve"> </w:t>
      </w:r>
      <w:r>
        <w:rPr>
          <w:b/>
        </w:rPr>
        <w:t xml:space="preserve">Urban</w:t>
      </w:r>
      <w:r>
        <w:rPr>
          <w:b/>
        </w:rPr>
        <w:t xml:space="preserve"> </w:t>
      </w:r>
      <w:r>
        <w:rPr>
          <w:b/>
        </w:rPr>
        <w:t xml:space="preserve">Heat</w:t>
      </w:r>
      <w:r>
        <w:rPr>
          <w:b/>
        </w:rPr>
        <w:t xml:space="preserve"> </w:t>
      </w:r>
      <w:r>
        <w:rPr>
          <w:b/>
        </w:rPr>
        <w:t xml:space="preserve">Island</w:t>
      </w:r>
      <w:r>
        <w:rPr>
          <w:b/>
        </w:rPr>
        <w:t xml:space="preserve"> </w:t>
      </w:r>
      <w:r>
        <w:rPr>
          <w:b/>
        </w:rPr>
        <w:t xml:space="preserve">(UHI)</w:t>
      </w:r>
      <w:r>
        <w:rPr>
          <w:b/>
        </w:rPr>
        <w:t xml:space="preserve"> </w:t>
      </w:r>
      <w:r>
        <w:rPr>
          <w:b/>
        </w:rPr>
        <w:t xml:space="preserve">effect</w:t>
      </w:r>
      <w:r>
        <w:rPr>
          <w:b/>
        </w:rPr>
        <w:t xml:space="preserve"> </w:t>
      </w:r>
      <w:r>
        <w:rPr>
          <w:b/>
        </w:rPr>
        <w:t xml:space="preserve">in</w:t>
      </w:r>
      <w:r>
        <w:rPr>
          <w:b/>
        </w:rPr>
        <w:t xml:space="preserve"> </w:t>
      </w:r>
      <w:r>
        <w:rPr>
          <w:b/>
        </w:rPr>
        <w:t xml:space="preserve">Berlin</w:t>
      </w:r>
      <w:r>
        <w:rPr>
          <w:b/>
        </w:rPr>
        <w:t xml:space="preserve"> </w:t>
      </w:r>
      <w:r>
        <w:rPr>
          <w:b/>
        </w:rPr>
        <w:t xml:space="preserve">using</w:t>
      </w:r>
      <w:r>
        <w:rPr>
          <w:b/>
        </w:rPr>
        <w:t xml:space="preserve"> </w:t>
      </w:r>
      <w:r>
        <w:rPr>
          <w:b/>
        </w:rPr>
        <w:t xml:space="preserve">an</w:t>
      </w:r>
      <w:r>
        <w:rPr>
          <w:b/>
        </w:rPr>
        <w:t xml:space="preserve"> </w:t>
      </w:r>
      <w:r>
        <w:rPr>
          <w:b/>
        </w:rPr>
        <w:t xml:space="preserve">extensive,</w:t>
      </w:r>
      <w:r>
        <w:rPr>
          <w:b/>
        </w:rPr>
        <w:t xml:space="preserve"> </w:t>
      </w:r>
      <w:r>
        <w:rPr>
          <w:b/>
        </w:rPr>
        <w:t xml:space="preserve">publicly</w:t>
      </w:r>
      <w:r>
        <w:rPr>
          <w:b/>
        </w:rPr>
        <w:t xml:space="preserve"> </w:t>
      </w:r>
      <w:r>
        <w:rPr>
          <w:b/>
        </w:rPr>
        <w:t xml:space="preserve">available</w:t>
      </w:r>
      <w:r>
        <w:rPr>
          <w:b/>
        </w:rPr>
        <w:t xml:space="preserve"> </w:t>
      </w:r>
      <w:r>
        <w:rPr>
          <w:b/>
        </w:rPr>
        <w:t xml:space="preserve">data</w:t>
      </w:r>
      <w:r>
        <w:rPr>
          <w:b/>
        </w:rPr>
        <w:t xml:space="preserve"> </w:t>
      </w:r>
      <w:r>
        <w:rPr>
          <w:b/>
        </w:rPr>
        <w:t xml:space="preserve">set.</w:t>
      </w:r>
      <w:r>
        <w:rPr>
          <w:b/>
        </w:rPr>
        <w:t xml:space="preserve"> </w:t>
      </w:r>
      <w:r>
        <w:rPr>
          <w:b/>
        </w:rPr>
        <w:t xml:space="preserve">It</w:t>
      </w:r>
      <w:r>
        <w:rPr>
          <w:b/>
        </w:rPr>
        <w:t xml:space="preserve"> </w:t>
      </w:r>
      <w:r>
        <w:rPr>
          <w:b/>
        </w:rPr>
        <w:t xml:space="preserve">introduces</w:t>
      </w:r>
      <w:r>
        <w:rPr>
          <w:b/>
        </w:rPr>
        <w:t xml:space="preserve"> </w:t>
      </w:r>
      <w:r>
        <w:rPr>
          <w:b/>
        </w:rPr>
        <w:t xml:space="preserve">preliminary</w:t>
      </w:r>
      <w:r>
        <w:rPr>
          <w:b/>
        </w:rPr>
        <w:t xml:space="preserve"> </w:t>
      </w:r>
      <w:r>
        <w:rPr>
          <w:b/>
        </w:rPr>
        <w:t xml:space="preserve">results</w:t>
      </w:r>
      <w:r>
        <w:rPr>
          <w:b/>
        </w:rPr>
        <w:t xml:space="preserve"> </w:t>
      </w:r>
      <w:r>
        <w:rPr>
          <w:b/>
        </w:rPr>
        <w:t xml:space="preserve">and</w:t>
      </w:r>
      <w:r>
        <w:rPr>
          <w:b/>
        </w:rPr>
        <w:t xml:space="preserve"> </w:t>
      </w:r>
      <w:r>
        <w:rPr>
          <w:b/>
        </w:rPr>
        <w:t xml:space="preserve">provides</w:t>
      </w:r>
      <w:r>
        <w:rPr>
          <w:b/>
        </w:rPr>
        <w:t xml:space="preserve"> </w:t>
      </w:r>
      <w:r>
        <w:rPr>
          <w:b/>
        </w:rPr>
        <w:t xml:space="preserve">an</w:t>
      </w:r>
      <w:r>
        <w:rPr>
          <w:b/>
        </w:rPr>
        <w:t xml:space="preserve"> </w:t>
      </w:r>
      <w:r>
        <w:rPr>
          <w:b/>
        </w:rPr>
        <w:t xml:space="preserve">outlook</w:t>
      </w:r>
      <w:r>
        <w:rPr>
          <w:b/>
        </w:rPr>
        <w:t xml:space="preserve"> </w:t>
      </w:r>
      <w:r>
        <w:rPr>
          <w:b/>
        </w:rPr>
        <w:t xml:space="preserve">for</w:t>
      </w:r>
      <w:r>
        <w:rPr>
          <w:b/>
        </w:rPr>
        <w:t xml:space="preserve"> </w:t>
      </w:r>
      <w:r>
        <w:rPr>
          <w:b/>
        </w:rPr>
        <w:t xml:space="preserve">up-coming</w:t>
      </w:r>
      <w:r>
        <w:rPr>
          <w:b/>
        </w:rPr>
        <w:t xml:space="preserve"> </w:t>
      </w:r>
      <w:r>
        <w:rPr>
          <w:b/>
        </w:rPr>
        <w:t xml:space="preserve">and</w:t>
      </w:r>
      <w:r>
        <w:rPr>
          <w:b/>
        </w:rPr>
        <w:t xml:space="preserve"> </w:t>
      </w:r>
      <w:r>
        <w:rPr>
          <w:b/>
        </w:rPr>
        <w:t xml:space="preserve">potential</w:t>
      </w:r>
      <w:r>
        <w:rPr>
          <w:b/>
        </w:rPr>
        <w:t xml:space="preserve"> </w:t>
      </w:r>
      <w:r>
        <w:rPr>
          <w:b/>
        </w:rPr>
        <w:t xml:space="preserve">work.</w:t>
      </w:r>
    </w:p>
    <w:p>
      <w:pPr>
        <w:pStyle w:val="Heading1"/>
      </w:pPr>
      <w:bookmarkStart w:id="21" w:name="sec:intro"/>
      <w:r>
        <w:t xml:space="preserve">Introduction</w:t>
      </w:r>
      <w:bookmarkEnd w:id="21"/>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p>
    <w:p>
      <w:pPr>
        <w:pStyle w:val="BodyText"/>
      </w:pPr>
      <w:r>
        <w:t xml:space="preserve">To complement (existing) detailed dendroecological analyses of climate-growth relationships in Berlin for key species, we propose inferring growth modulation from a large data set in excess of 650000 individuals covering 94 genera and at least 600 species and/or cultivars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see Tab.</w:t>
      </w:r>
      <m:oMath>
        <m:r>
          <m:t> </m:t>
        </m:r>
      </m:oMath>
      <w:r>
        <w:t xml:space="preserve">??</w:t>
      </w:r>
      <w:r>
        <w:t xml:space="preserve">), and height, amongst other variables for the majority of street and park trees.</w:t>
      </w:r>
    </w:p>
    <w:p>
      <w:pPr>
        <w:pStyle w:val="BodyText"/>
      </w:pPr>
      <w:r>
        <w:t xml:space="preserve">In a space-for-time substitution, growth of individual species can be assessed across the entire city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(early, mid, late stage), and between rural and urban conspecifics, yet lacked spatially-explicit effect size estimates across the urban-rural space and was limited to comparatively small sample sizes per group (</w:t>
      </w:r>
      <m:oMath>
        <m:sSub>
          <m:e>
            <m:r>
              <m:t>n</m:t>
            </m:r>
          </m:e>
          <m:sub>
            <m:r>
              <m:t>t</m:t>
            </m:r>
            <m:r>
              <m:t>o</m:t>
            </m:r>
            <m:r>
              <m:t>t</m:t>
            </m:r>
            <m:r>
              <m:t>a</m:t>
            </m:r>
            <m:r>
              <m:t>l</m:t>
            </m:r>
          </m:sub>
        </m:sSub>
        <m:r>
          <m:t> </m:t>
        </m:r>
        <m:r>
          <m:t>=</m:t>
        </m:r>
        <m:r>
          <m:t> </m:t>
        </m:r>
        <m:r>
          <m:t>230</m:t>
        </m:r>
      </m:oMath>
      <w:r>
        <w:t xml:space="preserve"> </w:t>
      </w:r>
      <w:r>
        <w:t xml:space="preserve">divided in 15 species, 3 groups and 2 locations).</w:t>
      </w:r>
      <w:r>
        <w:t xml:space="preserve"> </w:t>
      </w:r>
      <w:r>
        <w:t xml:space="preserve">Pretzsch et al. (2017)</w:t>
      </w:r>
      <w:r>
        <w:t xml:space="preserve"> </w:t>
      </w:r>
      <w:r>
        <w:t xml:space="preserve">applied linear hierarchical models to infer growth modulation on annual basis for different time periods and urban</w:t>
      </w:r>
      <w:r>
        <w:t xml:space="preserve"> </w:t>
      </w:r>
      <m:oMath>
        <m:r>
          <m:t>v</m:t>
        </m:r>
        <m:r>
          <m:t>s</m:t>
        </m:r>
        <m:r>
          <m:t>.</m:t>
        </m:r>
      </m:oMath>
      <w:r>
        <w:t xml:space="preserve"> </w:t>
      </w:r>
      <w:r>
        <w:t xml:space="preserve">rural locations while accounting for stand-level variability;</w:t>
      </w:r>
      <w:r>
        <w:t xml:space="preserve"> </w:t>
      </w:r>
      <w:r>
        <w:t xml:space="preserve">however, for Berlin only 145 individuals of one species (</w:t>
      </w:r>
      <w:r>
        <w:rPr>
          <w:i/>
        </w:rPr>
        <w:t xml:space="preserve">T. cordata</w:t>
      </w:r>
      <w:r>
        <w:t xml:space="preserve">) were assessed.</w:t>
      </w:r>
      <w:r>
        <w:t xml:space="preserve"> </w:t>
      </w:r>
      <w:r>
        <w:t xml:space="preserve">As mentioned previously, climate-growth relationships can vary substantially between species, and in fact,</w:t>
      </w:r>
      <w:r>
        <w:t xml:space="preserve"> </w:t>
      </w:r>
      <w:r>
        <w:t xml:space="preserve">Quigley (2004)</w:t>
      </w:r>
      <w:r>
        <w:t xml:space="preserve"> </w:t>
      </w:r>
      <w:r>
        <w:t xml:space="preserve">and</w:t>
      </w:r>
      <w:r>
        <w:t xml:space="preserve"> </w:t>
      </w:r>
      <w:r>
        <w:t xml:space="preserve">Pretzsch et al. (2017)</w:t>
      </w:r>
      <w:r>
        <w:t xml:space="preserve"> </w:t>
      </w:r>
      <w:r>
        <w:t xml:space="preserve">report contrasting results regarding average tree diameter, i.e. smaller or larger for urban</w:t>
      </w:r>
      <w:r>
        <w:t xml:space="preserve"> </w:t>
      </w:r>
      <m:oMath>
        <m:r>
          <m:t>v</m:t>
        </m:r>
        <m:r>
          <m:t>s</m:t>
        </m:r>
        <m:r>
          <m:t>.</m:t>
        </m:r>
      </m:oMath>
      <w:r>
        <w:t xml:space="preserve"> </w:t>
      </w:r>
      <w:r>
        <w:t xml:space="preserve">rural trees of same age.</w:t>
      </w:r>
      <w:r>
        <w:t xml:space="preserve"> </w:t>
      </w:r>
      <w:r>
        <w:t xml:space="preserve">Consequently, this variability of effect sizes and directions calls for a more comprehensive assessment across species and with greater spatial coverage throughout Berlin.</w:t>
      </w:r>
    </w:p>
    <w:p>
      <w:pPr>
        <w:pStyle w:val="BodyText"/>
      </w:pPr>
      <w:r>
        <w:rPr>
          <w:b/>
        </w:rPr>
        <w:t xml:space="preserve">We therefore propose applying a statistical model that is fully spatially explicit, while also allowing to account for the nested nature of the data set (e.g. streets and districts) as well as other pertinent factors using hierarchical, generalized additive models (see Section</w:t>
      </w:r>
      <m:oMath>
        <m:r>
          <m:t> </m:t>
        </m:r>
      </m:oMath>
      <w:r>
        <w:rPr>
          <w:b/>
        </w:rPr>
        <w:t xml:space="preserve">2</w:t>
      </w:r>
      <w:r>
        <w:rPr>
          <w:b/>
        </w:rPr>
        <w:t xml:space="preserve">).</w:t>
      </w:r>
      <w:r>
        <w:rPr>
          <w:b/>
        </w:rPr>
        <w:t xml:space="preserve"> </w:t>
      </w:r>
      <w:r>
        <w:rPr>
          <w:b/>
        </w:rPr>
        <w:t xml:space="preserve">As a result, the absolute growth potential of a species can be inferred given, for example, a specific location, age or UHI magnitude.</w:t>
      </w:r>
      <w:r>
        <w:rPr>
          <w:b/>
        </w:rPr>
        <w:t xml:space="preserve"> </w:t>
      </w:r>
      <w:r>
        <w:rPr>
          <w:b/>
        </w:rPr>
        <w:t xml:space="preserve">Further, the impact of UHI loading can be predicted for a single species across all of Berlin as a continuous surface.</w:t>
      </w:r>
      <w:r>
        <w:t xml:space="preserve"> </w:t>
      </w:r>
      <w:r>
        <w:t xml:space="preserve">The inclusion of independent, tree-level growth data, however, is paramount as it allows:</w:t>
      </w:r>
    </w:p>
    <w:p>
      <w:pPr>
        <w:pStyle w:val="Compact"/>
        <w:numPr>
          <w:numId w:val="1001"/>
          <w:ilvl w:val="0"/>
        </w:numPr>
      </w:pPr>
      <w:r>
        <w:t xml:space="preserve">validating the publicly-available Senate dataset (</w:t>
      </w:r>
      <m:oMath>
        <m:r>
          <m:t>D</m:t>
        </m:r>
        <m:r>
          <m:t>B</m:t>
        </m:r>
        <m:r>
          <m:t>H</m:t>
        </m:r>
      </m:oMath>
      <w:r>
        <w:t xml:space="preserve">) while providing a more reliable estimate of tree age,</w:t>
      </w:r>
      <w:r>
        <w:br/>
      </w:r>
    </w:p>
    <w:p>
      <w:pPr>
        <w:pStyle w:val="Compact"/>
        <w:numPr>
          <w:numId w:val="1001"/>
          <w:ilvl w:val="0"/>
        </w:numPr>
      </w:pPr>
      <w:r>
        <w:t xml:space="preserve">applying the model with annual basal area as a response (enabling incorporating effects of varying climate/UHI intensities over time), and</w:t>
      </w:r>
      <w:r>
        <w:br/>
      </w:r>
    </w:p>
    <w:p>
      <w:pPr>
        <w:pStyle w:val="Compact"/>
        <w:numPr>
          <w:numId w:val="1001"/>
          <w:ilvl w:val="0"/>
        </w:numPr>
      </w:pPr>
      <w:r>
        <w:t xml:space="preserve">comparing</w:t>
      </w:r>
      <w:r>
        <w:t xml:space="preserve"> </w:t>
      </w:r>
      <m:oMath>
        <m:r>
          <m:t>D</m:t>
        </m:r>
        <m:r>
          <m:t>B</m:t>
        </m:r>
        <m:r>
          <m:t>H</m:t>
        </m:r>
      </m:oMath>
      <w:r>
        <w:t xml:space="preserve"> </w:t>
      </w:r>
      <w:r>
        <w:t xml:space="preserve">(Senate data) and basal area-derived models for a subset of locations and species, increasing confidence in Berlin-wide predictions.</w:t>
      </w:r>
    </w:p>
    <w:p>
      <w:pPr>
        <w:pStyle w:val="Heading1"/>
      </w:pPr>
      <w:bookmarkStart w:id="22" w:name="sec:methods"/>
      <w:r>
        <w:t xml:space="preserve">Proposed methods and data requirements</w:t>
      </w:r>
      <w:bookmarkEnd w:id="22"/>
    </w:p>
    <w:p>
      <w:pPr>
        <w:pStyle w:val="Heading2"/>
      </w:pPr>
      <w:bookmarkStart w:id="23" w:name="general-analyses"/>
      <w:r>
        <w:t xml:space="preserve">General analyses</w:t>
      </w:r>
      <w:bookmarkEnd w:id="23"/>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t>(</m:t>
          </m:r>
          <m:r>
            <m:t>Y</m:t>
          </m:r>
          <m:r>
            <m:t>)</m:t>
          </m:r>
          <m:r>
            <m:t> </m:t>
          </m:r>
          <m:r>
            <m:t>=</m:t>
          </m:r>
          <m:r>
            <m:t> </m:t>
          </m:r>
          <m:sSup>
            <m:e>
              <m:r>
                <m:t>g</m:t>
              </m:r>
            </m:e>
            <m:sup>
              <m:r>
                <m:t>−</m:t>
              </m:r>
              <m:r>
                <m:t>1</m:t>
              </m:r>
            </m:sup>
          </m:sSup>
          <m:d>
            <m:dPr>
              <m:begChr m:val="("/>
              <m:endChr m:val=")"/>
              <m:grow/>
            </m:dPr>
            <m:e>
              <m:sSub>
                <m:e>
                  <m:r>
                    <m:t>β</m:t>
                  </m:r>
                </m:e>
                <m:sub>
                  <m:r>
                    <m:t>0</m:t>
                  </m:r>
                </m:sub>
              </m:sSub>
              <m:r>
                <m:t>+</m:t>
              </m:r>
              <m:nary>
                <m:naryPr>
                  <m:chr m:val="∑"/>
                  <m:limLoc m:val="undOvr"/>
                  <m:subHide m:val="0"/>
                  <m:supHide m:val="0"/>
                </m:naryPr>
                <m:sub>
                  <m:r>
                    <m:t>i</m:t>
                  </m:r>
                  <m:r>
                    <m:t>=</m:t>
                  </m:r>
                  <m:r>
                    <m:t>1</m:t>
                  </m:r>
                </m:sub>
                <m:sup>
                  <m:r>
                    <m:t>n</m:t>
                  </m:r>
                </m:sup>
                <m:e>
                  <m:sSub>
                    <m:e>
                      <m:r>
                        <m:t>f</m:t>
                      </m:r>
                    </m:e>
                    <m:sub>
                      <m:r>
                        <m:t>i</m:t>
                      </m:r>
                    </m:sub>
                  </m:sSub>
                </m:e>
              </m:nary>
              <m:r>
                <m:t>(</m:t>
              </m:r>
              <m:sSub>
                <m:e>
                  <m:r>
                    <m:t>x</m:t>
                  </m:r>
                </m:e>
                <m:sub>
                  <m:r>
                    <m:t>i</m:t>
                  </m:r>
                </m:sub>
              </m:sSub>
              <m:r>
                <m:t>)</m:t>
              </m:r>
            </m:e>
          </m:d>
          <m:r>
            <m:t>,</m:t>
          </m:r>
          <m:r>
            <m:t>  </m:t>
          </m:r>
          <m:r>
            <m:t>(</m:t>
          </m:r>
          <m:r>
            <m:t>1</m:t>
          </m:r>
          <m:r>
            <m:t>)</m:t>
          </m:r>
        </m:oMath>
      </m:oMathPara>
    </w:p>
    <w:p>
      <w:pPr>
        <w:pStyle w:val="FirstParagraph"/>
      </w:pPr>
      <w:r>
        <w:t xml:space="preserve">and</w:t>
      </w:r>
    </w:p>
    <w:p>
      <w:pPr>
        <w:pStyle w:val="BodyText"/>
      </w:pPr>
      <m:oMathPara>
        <m:oMathParaPr>
          <m:jc m:val="center"/>
        </m:oMathParaPr>
        <m:oMath>
          <m:r>
            <m:t>y</m:t>
          </m:r>
          <m:r>
            <m:t> </m:t>
          </m:r>
          <m:r>
            <m:t>=</m:t>
          </m:r>
          <m:r>
            <m:t> </m:t>
          </m:r>
          <m:r>
            <m:t>E</m:t>
          </m:r>
          <m:r>
            <m:t>(</m:t>
          </m:r>
          <m:r>
            <m:t>Y</m:t>
          </m:r>
          <m:r>
            <m:t>)</m:t>
          </m:r>
          <m:r>
            <m:t>+</m:t>
          </m:r>
          <m:r>
            <m:t>ϵ</m:t>
          </m:r>
          <m:r>
            <m:t>,</m:t>
          </m:r>
          <m:r>
            <m:t>  </m:t>
          </m:r>
          <m:r>
            <m:t>(</m:t>
          </m:r>
          <m:r>
            <m:t>2</m:t>
          </m:r>
          <m: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t>∼</m:t>
        </m:r>
        <m:r>
          <m:rPr>
            <m:sty m:val="p"/>
            <m:scr m:val="script"/>
          </m:rPr>
          <m:t>N</m:t>
        </m:r>
        <m:r>
          <m:t>(</m:t>
        </m:r>
        <m:r>
          <m:t>0</m:t>
        </m:r>
        <m:r>
          <m:t>,</m:t>
        </m:r>
        <m:sSup>
          <m:e>
            <m:r>
              <m:t>σ</m:t>
            </m:r>
          </m:e>
          <m:sup>
            <m:r>
              <m:t>2</m:t>
            </m:r>
          </m:sup>
        </m:sSup>
        <m: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coefficient:</w:t>
      </w:r>
    </w:p>
    <w:p>
      <w:pPr>
        <w:pStyle w:val="BodyText"/>
      </w:pPr>
      <m:oMathPara>
        <m:oMathParaPr>
          <m:jc m:val="center"/>
        </m:oMathParaPr>
        <m:oMath>
          <m:sSub>
            <m:e>
              <m:r>
                <m:t>f</m:t>
              </m:r>
            </m:e>
            <m:sub>
              <m:r>
                <m:t>i</m:t>
              </m:r>
            </m:sub>
          </m:sSub>
          <m:r>
            <m:t>(</m:t>
          </m:r>
          <m:sSub>
            <m:e>
              <m:r>
                <m:t>x</m:t>
              </m:r>
            </m:e>
            <m:sub>
              <m:r>
                <m:t>i</m:t>
              </m:r>
            </m:sub>
          </m:sSub>
          <m:r>
            <m:t>)</m:t>
          </m:r>
          <m:r>
            <m:t> </m:t>
          </m:r>
          <m:r>
            <m:t>=</m:t>
          </m:r>
          <m:r>
            <m:t> </m:t>
          </m:r>
          <m:nary>
            <m:naryPr>
              <m:chr m:val="∑"/>
              <m:limLoc m:val="undOvr"/>
              <m:subHide m:val="0"/>
              <m:supHide m:val="0"/>
            </m:naryPr>
            <m:sub>
              <m:r>
                <m:t>k</m:t>
              </m:r>
              <m:r>
                <m:t>=</m:t>
              </m:r>
              <m:r>
                <m:t>1</m:t>
              </m:r>
            </m:sub>
            <m:sup>
              <m:r>
                <m:t>K</m:t>
              </m:r>
            </m:sup>
            <m:e>
              <m:sSub>
                <m:e>
                  <m:r>
                    <m:t>β</m:t>
                  </m:r>
                </m:e>
                <m:sub>
                  <m:r>
                    <m:t>i</m:t>
                  </m:r>
                  <m:r>
                    <m:t>,</m:t>
                  </m:r>
                  <m:r>
                    <m:t>k</m:t>
                  </m:r>
                </m:sub>
              </m:sSub>
            </m:e>
          </m:nary>
          <m:sSub>
            <m:e>
              <m:r>
                <m:t>b</m:t>
              </m:r>
            </m:e>
            <m:sub>
              <m:r>
                <m:t>i</m:t>
              </m:r>
              <m:r>
                <m:t>,</m:t>
              </m:r>
              <m:r>
                <m:t>k</m:t>
              </m:r>
            </m:sub>
          </m:sSub>
          <m:r>
            <m:t>(</m:t>
          </m:r>
          <m:sSub>
            <m:e>
              <m:r>
                <m:t>x</m:t>
              </m:r>
            </m:e>
            <m:sub>
              <m:r>
                <m:t>i</m:t>
              </m:r>
            </m:sub>
          </m:sSub>
          <m:r>
            <m:t>)</m:t>
          </m:r>
          <m:r>
            <m:t>.</m:t>
          </m:r>
          <m:r>
            <m:t>  </m:t>
          </m:r>
          <m:r>
            <m:t>(</m:t>
          </m:r>
          <m:r>
            <m:t>3</m:t>
          </m:r>
          <m: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 </w:t>
      </w:r>
      <w:r>
        <w:t xml:space="preserve">(see Section</w:t>
      </w:r>
      <m:oMath>
        <m:r>
          <m:t> </m:t>
        </m:r>
      </m:oMath>
      <w:r>
        <w:t xml:space="preserve">3</w:t>
      </w:r>
      <w:r>
        <w:t xml:space="preserve">).</w:t>
      </w:r>
      <w:r>
        <w:t xml:space="preserve"> </w:t>
      </w:r>
      <w:r>
        <w:t xml:space="preserve">The general form of this model is:</w:t>
      </w:r>
    </w:p>
    <w:p>
      <w:pPr>
        <w:pStyle w:val="BodyText"/>
      </w:pPr>
      <m:oMathPara>
        <m:oMathParaPr>
          <m:jc m:val="center"/>
        </m:oMathParaPr>
        <m:oMath>
          <m:sSub>
            <m:e>
              <m:r>
                <m:t>Y</m:t>
              </m:r>
            </m:e>
            <m:sub>
              <m:r>
                <m:t>i</m:t>
              </m:r>
              <m:r>
                <m:t>,</m:t>
              </m:r>
              <m:r>
                <m:t>j</m:t>
              </m:r>
            </m:sub>
          </m:sSub>
          <m:r>
            <m:t>=</m:t>
          </m:r>
          <m:r>
            <m:t>(</m:t>
          </m:r>
          <m:sSub>
            <m:e>
              <m:r>
                <m:t>β</m:t>
              </m:r>
            </m:e>
            <m:sub>
              <m:r>
                <m:t>0</m:t>
              </m:r>
            </m:sub>
          </m:sSub>
          <m:r>
            <m:t>+</m:t>
          </m:r>
          <m:sSub>
            <m:e>
              <m:r>
                <m:t>b</m:t>
              </m:r>
            </m:e>
            <m:sub>
              <m:r>
                <m:t>0</m:t>
              </m:r>
              <m:r>
                <m:t>,</m:t>
              </m:r>
              <m:r>
                <m:t>i</m:t>
              </m:r>
              <m:r>
                <m:t>,</m:t>
              </m:r>
              <m:r>
                <m:t>j</m:t>
              </m:r>
            </m:sub>
          </m:sSub>
          <m:r>
            <m:t>)</m:t>
          </m:r>
          <m:r>
            <m:t>+</m:t>
          </m:r>
          <m:r>
            <m:t>(</m:t>
          </m:r>
          <m:sSub>
            <m:e>
              <m:r>
                <m:t>β</m:t>
              </m:r>
            </m:e>
            <m:sub>
              <m:r>
                <m:t>1</m:t>
              </m:r>
            </m:sub>
          </m:sSub>
          <m:r>
            <m:t>+</m:t>
          </m:r>
          <m:sSub>
            <m:e>
              <m:r>
                <m:t>b</m:t>
              </m:r>
            </m:e>
            <m:sub>
              <m:r>
                <m:t>1</m:t>
              </m:r>
              <m:r>
                <m:t>,</m:t>
              </m:r>
              <m:r>
                <m:t>i</m:t>
              </m:r>
              <m:r>
                <m:t>,</m:t>
              </m:r>
              <m:r>
                <m:t>j</m:t>
              </m:r>
            </m:sub>
          </m:sSub>
          <m:r>
            <m:t>)</m:t>
          </m:r>
          <m:r>
            <m:t>⋅</m:t>
          </m:r>
          <m:sSub>
            <m:e>
              <m:r>
                <m:t>x</m:t>
              </m:r>
            </m:e>
            <m:sub>
              <m:r>
                <m:t>i</m:t>
              </m:r>
            </m:sub>
          </m:sSub>
          <m:r>
            <m:t>+</m:t>
          </m:r>
          <m:sSub>
            <m:e>
              <m:r>
                <m:t>ϵ</m:t>
              </m:r>
            </m:e>
            <m:sub>
              <m:r>
                <m:t>i</m:t>
              </m:r>
              <m:r>
                <m:t>,</m:t>
              </m:r>
              <m:r>
                <m:t>j</m:t>
              </m:r>
            </m:sub>
          </m:sSub>
          <m:r>
            <m:t>,</m:t>
          </m:r>
          <m:r>
            <m:t>  </m:t>
          </m:r>
          <m:r>
            <m:t>(</m:t>
          </m:r>
          <m:r>
            <m:t>4</m:t>
          </m:r>
          <m: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t>∼</m:t>
        </m:r>
        <m:r>
          <m:rPr>
            <m:sty m:val="p"/>
            <m:scr m:val="script"/>
          </m:rPr>
          <m:t>N</m:t>
        </m:r>
        <m:r>
          <m:t>(</m:t>
        </m:r>
        <m:r>
          <m:t>0</m:t>
        </m:r>
        <m:r>
          <m:t>,</m:t>
        </m:r>
        <m:sSup>
          <m:e>
            <m:r>
              <m:t>τ</m:t>
            </m:r>
          </m:e>
          <m:sup>
            <m:r>
              <m:t>2</m:t>
            </m:r>
          </m:sup>
        </m:sSup>
        <m:r>
          <m:t>)</m:t>
        </m:r>
      </m:oMath>
      <w:r>
        <w:t xml:space="preserve">.</w:t>
      </w:r>
      <w:r>
        <w:t xml:space="preserve"> </w:t>
      </w:r>
      <w:r>
        <w:t xml:space="preserve">The model for which results are presented in Figure</w:t>
      </w:r>
      <m:oMath>
        <m:r>
          <m:t> </m:t>
        </m:r>
      </m:oMath>
      <w:r>
        <w:t xml:space="preserve">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modeled separately.</w:t>
      </w:r>
      <w:r>
        <w:t xml:space="preserve"> </w:t>
      </w:r>
      <w:r>
        <w:t xml:space="preserve">Further, models were established for the three most abundant species per genera with at least 1000 individuals.</w:t>
      </w:r>
    </w:p>
    <w:p>
      <w:pPr>
        <w:pStyle w:val="Heading2"/>
      </w:pPr>
      <w:bookmarkStart w:id="24" w:name="available-and-required-data"/>
      <w:r>
        <w:t xml:space="preserve">Available and required data</w:t>
      </w:r>
      <w:bookmarkEnd w:id="24"/>
    </w:p>
    <w:p>
      <w:pPr>
        <w:pStyle w:val="FirstParagraph"/>
      </w:pPr>
      <w:r>
        <w:t xml:space="preserve">Additional remote sensing data for local context, higher resolution UHI data, and most important, temporally-resolved tree growth data are still required and/or would greatly improve the confidence in effect size estimates (see Section</w:t>
      </w:r>
      <m:oMath>
        <m:r>
          <m:t> </m:t>
        </m:r>
      </m:oMath>
      <w:r>
        <w:t xml:space="preserve">1</w:t>
      </w:r>
      <w:r>
        <w:t xml:space="preserve">).</w:t>
      </w:r>
      <w:r>
        <w:t xml:space="preserve"> </w:t>
      </w:r>
      <w:r>
        <w:t xml:space="preserve">See Tab.</w:t>
      </w:r>
      <m:oMath>
        <m:r>
          <m:t> </m:t>
        </m:r>
      </m:oMath>
      <w:r>
        <w:t xml:space="preserve">??</w:t>
      </w:r>
      <w:r>
        <w:t xml:space="preserve"> </w:t>
      </w:r>
      <w:r>
        <w:t xml:space="preserve">for details on data sets.</w:t>
      </w:r>
    </w:p>
    <w:p>
      <w:pPr>
        <w:pStyle w:val="Heading1"/>
      </w:pPr>
      <w:bookmarkStart w:id="25" w:name="sec:results"/>
      <w:r>
        <w:t xml:space="preserve">Preliminary results</w:t>
      </w:r>
      <w:bookmarkEnd w:id="25"/>
    </w:p>
    <w:p>
      <w:pPr>
        <w:pStyle w:val="FirstParagraph"/>
      </w:pPr>
      <w:r>
        <w:t xml:space="preserve">Tree locations are clustered and structured based on their category, i.e. riparian, street and park trees (Fig.</w:t>
      </w:r>
      <m:oMath>
        <m:r>
          <m:t> </m:t>
        </m:r>
      </m:oMath>
      <w:r>
        <w:t xml:space="preserve">1</w:t>
      </w:r>
      <w:r>
        <w:t xml:space="preserve">).</w:t>
      </w:r>
      <w:r>
        <w:t xml:space="preserve"> </w:t>
      </w:r>
      <w:r>
        <w:t xml:space="preserve">Planting in space and time shows species-specific patterns (by districts), often related to major events, such as the start and end of armed and/or political conflict.</w:t>
      </w:r>
      <w:r>
        <w:t xml:space="preserve"> </w:t>
      </w:r>
      <w:r>
        <w:t xml:space="preserve">Table</w:t>
      </w:r>
      <m:oMath>
        <m:r>
          <m:t> </m:t>
        </m:r>
      </m:oMath>
      <w:r>
        <w:t xml:space="preserve">??</w:t>
      </w:r>
      <w:r>
        <w:t xml:space="preserve"> </w:t>
      </w:r>
      <w:r>
        <w:t xml:space="preserve">shows the binned distribution of genera across age classes.</w:t>
      </w:r>
    </w:p>
    <w:p>
      <w:pPr>
        <w:pStyle w:val="CaptionedFigure"/>
      </w:pPr>
      <w:r>
        <w:drawing>
          <wp:inline>
            <wp:extent cx="5334000" cy="1777999"/>
            <wp:effectExtent b="0" l="0" r="0" t="0"/>
            <wp:docPr descr="Figure 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home/hurley/_work/p_024_GFZ_berlin_trees/berlin.trees/analysis/figures/map_01_overview.png" id="0" name="Picture"/>
                    <pic:cNvPicPr>
                      <a:picLocks noChangeArrowheads="1" noChangeAspect="1"/>
                    </pic:cNvPicPr>
                  </pic:nvPicPr>
                  <pic:blipFill>
                    <a:blip r:embed="rId26"/>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334000" cy="5334000"/>
            <wp:effectExtent b="0" l="0" r="0" t="0"/>
            <wp:docPr descr="Figure 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home/hurley/_work/p_024_GFZ_berlin_trees/berlin.trees/analysis/figures/map_02_tree_sums_standardized.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Gridded counts for the 11 most frequent genera, as well as</w:t>
      </w:r>
      <w:r>
        <w:t xml:space="preserve"> </w:t>
      </w:r>
      <w:r>
        <w:rPr>
          <w:i/>
        </w:rPr>
        <w:t xml:space="preserve">Pinus</w:t>
      </w:r>
      <w:r>
        <w:t xml:space="preserve"> </w:t>
      </w:r>
      <w:r>
        <w:t xml:space="preserve">and remaining genera. Note, that counts are standardized to unity for individual genera.</w:t>
      </w:r>
    </w:p>
    <w:p>
      <w:pPr>
        <w:pStyle w:val="BodyText"/>
      </w:pPr>
      <w:r>
        <w:t xml:space="preserve">The distribution of the UHI effect is highly irregular and clustered in space (Fig.</w:t>
      </w:r>
      <m:oMath>
        <m:r>
          <m:t> </m:t>
        </m:r>
      </m:oMath>
      <w:r>
        <w:t xml:space="preserve">3</w:t>
      </w:r>
      <w:r>
        <w:t xml:space="preserve">), and also shows variability through time (data not shown, refer to the</w:t>
      </w:r>
      <w:r>
        <w:t xml:space="preserve"> </w:t>
      </w:r>
      <w:hyperlink r:id="rId28">
        <w:r>
          <w:rPr>
            <w:rStyle w:val="Hyperlink"/>
          </w:rPr>
          <w:t xml:space="preserve">urban heat island explorer</w:t>
        </w:r>
      </w:hyperlink>
      <w:r>
        <w:t xml:space="preserve">).</w:t>
      </w:r>
    </w:p>
    <w:p>
      <w:pPr>
        <w:pStyle w:val="CaptionedFigure"/>
      </w:pPr>
      <w:r>
        <w:drawing>
          <wp:inline>
            <wp:extent cx="5334000" cy="5334000"/>
            <wp:effectExtent b="0" l="0" r="0" t="0"/>
            <wp:docPr descr="Figure 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home/hurley/_work/p_024_GFZ_berlin_trees/berlin.trees/analysis/figures/map_03_uhi.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BodyText"/>
      </w:pPr>
      <w:r>
        <w:t xml:space="preserve">The exposure to increased heat-loading of individual genera (and consequently species) is highly uneven throughout the city (Fig.</w:t>
      </w:r>
      <m:oMath>
        <m:r>
          <m:t> </m:t>
        </m:r>
      </m:oMath>
      <w:r>
        <w:t xml:space="preserve">4</w:t>
      </w:r>
      <w:r>
        <w:t xml:space="preserve">).</w:t>
      </w:r>
      <w:r>
        <w:t xml:space="preserve"> </w:t>
      </w:r>
      <w:r>
        <w:t xml:space="preserve">Street and park trees of most genera are clustered in urban areas with intermediate to high UHI loading, while riparian trees, and some street and park trees of other genera tend to be spread more evenly across Berlin’s UHI range.</w:t>
      </w:r>
    </w:p>
    <w:p>
      <w:pPr>
        <w:pStyle w:val="CaptionedFigure"/>
      </w:pPr>
      <w:r>
        <w:drawing>
          <wp:inline>
            <wp:extent cx="5334000" cy="5334000"/>
            <wp:effectExtent b="0" l="0" r="0" t="0"/>
            <wp:docPr descr="Figure 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 title="" id="1" name="Picture"/>
            <a:graphic>
              <a:graphicData uri="http://schemas.openxmlformats.org/drawingml/2006/picture">
                <pic:pic>
                  <pic:nvPicPr>
                    <pic:cNvPr descr="/home/hurley/_work/p_024_GFZ_berlin_trees/berlin.trees/analysis/figures/plot_02_genus_UHI_dens.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w:t>
      </w:r>
    </w:p>
    <w:p>
      <w:pPr>
        <w:pStyle w:val="BodyText"/>
      </w:pPr>
      <w:r>
        <w:rPr>
          <w:b/>
        </w:rPr>
        <w:t xml:space="preserve">Note, that results below are preliminary and should be considered as a template for future outputs, rather than used for inference.</w:t>
      </w:r>
      <w:r>
        <w:t xml:space="preserve"> </w:t>
      </w:r>
      <w:r>
        <w:t xml:space="preserve">The effect of UHI loading on absolute growth potential varies between genera and species (Fig.</w:t>
      </w:r>
      <m:oMath>
        <m:r>
          <m:t> </m:t>
        </m:r>
      </m:oMath>
      <w:r>
        <w:t xml:space="preserve">5</w:t>
      </w:r>
      <w:r>
        <w:t xml:space="preserve">).</w:t>
      </w:r>
      <w:r>
        <w:t xml:space="preserve"> </w:t>
      </w:r>
      <w:r>
        <w:t xml:space="preserve">Most notably,</w:t>
      </w:r>
      <w:r>
        <w:t xml:space="preserve"> </w:t>
      </w:r>
      <w:r>
        <w:rPr>
          <w:i/>
        </w:rPr>
        <w:t xml:space="preserve">Quercus</w:t>
      </w:r>
      <w:r>
        <w:t xml:space="preserve">, the 3rd-most frequent genera, shows decreased absolute growth with increasing UHI loading,</w:t>
      </w:r>
      <w:r>
        <w:t xml:space="preserve"> </w:t>
      </w:r>
      <w:r>
        <w:t xml:space="preserve">while the most frequent genera,</w:t>
      </w:r>
      <w:r>
        <w:t xml:space="preserve"> </w:t>
      </w:r>
      <w:r>
        <w:rPr>
          <w:i/>
        </w:rPr>
        <w:t xml:space="preserve">Tilia</w:t>
      </w:r>
      <w:r>
        <w:t xml:space="preserve">, features contrasting relationships between species.</w:t>
      </w:r>
      <w:r>
        <w:t xml:space="preserve"> </w:t>
      </w:r>
      <w:r>
        <w:t xml:space="preserve">The estimated effect sizes presented here are linear.</w:t>
      </w:r>
      <w:r>
        <w:t xml:space="preserve"> </w:t>
      </w:r>
      <w:r>
        <w:t xml:space="preserve">However, temperature may exert a non-linear control on absolute growth and, hence, applying a method able to capture such dynamics may result in somewhat different effect sizes / behavior.</w:t>
      </w:r>
      <w:r>
        <w:t xml:space="preserve"> </w:t>
      </w:r>
      <w:r>
        <w:t xml:space="preserve">Additionally, if temperatures increase in the future under climate warming, any non-linear effects may become more enhanced, stressing the need for a more flexible model fit and structure (i.e. using GAMM over linear models-).</w:t>
      </w:r>
    </w:p>
    <w:p>
      <w:pPr>
        <w:pStyle w:val="CaptionedFigure"/>
      </w:pPr>
      <w:r>
        <w:drawing>
          <wp:inline>
            <wp:extent cx="5334000" cy="5334000"/>
            <wp:effectExtent b="0" l="0" r="0" t="0"/>
            <wp:docPr descr="Figure 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home/hurley/_work/p_024_GFZ_berlin_trees/berlin.trees/analysis/figures/plot_03_ranef_species_dbh_uhi.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p>
      <w:pPr>
        <w:pStyle w:val="Heading1"/>
      </w:pPr>
      <w:bookmarkStart w:id="32" w:name="outlook"/>
      <w:r>
        <w:t xml:space="preserve">Outlook</w:t>
      </w:r>
      <w:bookmarkEnd w:id="32"/>
    </w:p>
    <w:p>
      <w:pPr>
        <w:pStyle w:val="FirstParagraph"/>
      </w:pPr>
      <w:r>
        <w:t xml:space="preserve">We seek to build upon and improve the current analysis by:</w:t>
      </w:r>
    </w:p>
    <w:p>
      <w:pPr>
        <w:pStyle w:val="Compact"/>
        <w:numPr>
          <w:numId w:val="1002"/>
          <w:ilvl w:val="0"/>
        </w:numPr>
      </w:pPr>
      <w:r>
        <w:t xml:space="preserve">validating the database with independent observations</w:t>
      </w:r>
    </w:p>
    <w:p>
      <w:pPr>
        <w:pStyle w:val="Compact"/>
        <w:numPr>
          <w:numId w:val="1002"/>
          <w:ilvl w:val="0"/>
        </w:numPr>
      </w:pPr>
      <w:r>
        <w:t xml:space="preserve">incorporating more pertinent covariates as dependent variables in the linear mixed model</w:t>
      </w:r>
      <w:r>
        <w:br/>
      </w:r>
    </w:p>
    <w:p>
      <w:pPr>
        <w:pStyle w:val="Compact"/>
        <w:numPr>
          <w:numId w:val="1002"/>
          <w:ilvl w:val="0"/>
        </w:numPr>
      </w:pPr>
      <w:r>
        <w:t xml:space="preserve">testing multiple model structures with formal model selection procedures</w:t>
      </w:r>
    </w:p>
    <w:p>
      <w:pPr>
        <w:pStyle w:val="Compact"/>
        <w:numPr>
          <w:numId w:val="1002"/>
          <w:ilvl w:val="0"/>
        </w:numPr>
      </w:pPr>
      <w:r>
        <w:t xml:space="preserve">checking model residuals for spatial auto-correlation and accounting for it where necessary to ensure unbiased estimates of effect sizes</w:t>
      </w:r>
    </w:p>
    <w:p>
      <w:pPr>
        <w:pStyle w:val="Compact"/>
        <w:numPr>
          <w:numId w:val="1002"/>
          <w:ilvl w:val="0"/>
        </w:numPr>
      </w:pPr>
      <w:r>
        <w:t xml:space="preserve">repeating the above with a hierarchical GAM (i.e. GAMM) to allow for:</w:t>
      </w:r>
    </w:p>
    <w:p>
      <w:pPr>
        <w:pStyle w:val="Compact"/>
        <w:numPr>
          <w:numId w:val="1003"/>
          <w:ilvl w:val="1"/>
        </w:numPr>
      </w:pPr>
      <w:r>
        <w:t xml:space="preserve">estimating continuous prediction surfaces for UHI impacts on individual species’ growth (similar to results in Figure</w:t>
      </w:r>
      <m:oMath>
        <m:r>
          <m:t> </m:t>
        </m:r>
      </m:oMath>
      <w:r>
        <w:t xml:space="preserve">5</w:t>
      </w:r>
      <w:r>
        <w:t xml:space="preserve">) under recent conditions</w:t>
      </w:r>
    </w:p>
    <w:p>
      <w:pPr>
        <w:pStyle w:val="Compact"/>
        <w:numPr>
          <w:numId w:val="1003"/>
          <w:ilvl w:val="1"/>
        </w:numPr>
      </w:pPr>
      <w:r>
        <w:t xml:space="preserve">estimating absolute, species-specific growth potential under increased temperatures and UHI loading under climate change, ideally based on climate simulations (otherwise step-wise increases based on RCP scenarios) for the key species. Note, that complications presented by</w:t>
      </w:r>
      <w:r>
        <w:t xml:space="preserve"> </w:t>
      </w:r>
      <w:r>
        <w:t xml:space="preserve">‘</w:t>
      </w:r>
      <w:r>
        <w:t xml:space="preserve">out-of-sample</w:t>
      </w:r>
      <w:r>
        <w:t xml:space="preserve">’</w:t>
      </w:r>
      <w:r>
        <w:t xml:space="preserve"> </w:t>
      </w:r>
      <w:r>
        <w:t xml:space="preserve">predictions will be addressed.</w:t>
      </w:r>
    </w:p>
    <w:p>
      <w:pPr>
        <w:pStyle w:val="Compact"/>
        <w:numPr>
          <w:numId w:val="1003"/>
          <w:ilvl w:val="1"/>
        </w:numPr>
      </w:pPr>
      <w:r>
        <w:t xml:space="preserve">assess potential age-dependent UHI impacts on individual species.</w:t>
      </w:r>
      <w:r>
        <w:br/>
      </w:r>
    </w:p>
    <w:p>
      <w:pPr>
        <w:pStyle w:val="Compact"/>
        <w:numPr>
          <w:numId w:val="1003"/>
          <w:ilvl w:val="1"/>
        </w:numPr>
      </w:pPr>
      <w:r>
        <w:t xml:space="preserve">repeating the above (GAMM) with total and incremental basal area as responses</w:t>
      </w:r>
    </w:p>
    <w:p>
      <w:pPr>
        <w:pStyle w:val="Heading1"/>
      </w:pPr>
      <w:bookmarkStart w:id="33" w:name="references"/>
      <w:r>
        <w:t xml:space="preserve">References</w:t>
      </w:r>
      <w:bookmarkEnd w:id="33"/>
    </w:p>
    <w:bookmarkStart w:id="92" w:name="refs"/>
    <w:bookmarkStart w:id="35"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4">
        <w:r>
          <w:rPr>
            <w:rStyle w:val="Hyperlink"/>
          </w:rPr>
          <w:t xml:space="preserve">https://doi.org/10.1016/S0038-092X(00)00089-X</w:t>
        </w:r>
      </w:hyperlink>
    </w:p>
    <w:bookmarkEnd w:id="35"/>
    <w:bookmarkStart w:id="37" w:name="ref-augustin2009"/>
    <w:p>
      <w:pPr>
        <w:pStyle w:val="Bibliography"/>
      </w:pPr>
      <w:r>
        <w:t xml:space="preserve">Augustin, N.H., Musio, M., von Wilpert, K., Kublin, E., Wood, S.N., Schumacher, M., 2009. Modeling Spatiotemporal Forest Health Monitoring Data. Journal of the American Statistical Association 104, 899–911.</w:t>
      </w:r>
      <w:r>
        <w:t xml:space="preserve"> </w:t>
      </w:r>
      <w:hyperlink r:id="rId36">
        <w:r>
          <w:rPr>
            <w:rStyle w:val="Hyperlink"/>
          </w:rPr>
          <w:t xml:space="preserve">https://doi.org/10.1198/jasa.2009.ap07058</w:t>
        </w:r>
      </w:hyperlink>
    </w:p>
    <w:bookmarkEnd w:id="37"/>
    <w:bookmarkStart w:id="39" w:name="ref-bates2015"/>
    <w:p>
      <w:pPr>
        <w:pStyle w:val="Bibliography"/>
      </w:pPr>
      <w:r>
        <w:t xml:space="preserve">Bates, D., Mächler, M., Bolker, B., Walker, S., 2015. Fitting linear mixed-effects models using lme4. Journal of Statistical Software 67, 1–48.</w:t>
      </w:r>
      <w:r>
        <w:t xml:space="preserve"> </w:t>
      </w:r>
      <w:hyperlink r:id="rId38">
        <w:r>
          <w:rPr>
            <w:rStyle w:val="Hyperlink"/>
          </w:rPr>
          <w:t xml:space="preserve">https://doi.org/10.18637/jss.v067.i01</w:t>
        </w:r>
      </w:hyperlink>
    </w:p>
    <w:bookmarkEnd w:id="39"/>
    <w:bookmarkStart w:id="40" w:name="ref-brune2016"/>
    <w:p>
      <w:pPr>
        <w:pStyle w:val="Bibliography"/>
      </w:pPr>
      <w:r>
        <w:t xml:space="preserve">Brune, M., 2016. Urban trees under climate change. Potential impacts of dry spells and heat waves in three German regions in the 2050s (No. Report 24). Climate Service Center Germany, Hamburg.</w:t>
      </w:r>
    </w:p>
    <w:bookmarkEnd w:id="40"/>
    <w:bookmarkStart w:id="42"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1">
        <w:r>
          <w:rPr>
            <w:rStyle w:val="Hyperlink"/>
          </w:rPr>
          <w:t xml:space="preserve">https://doi.org/10.1016/j.jag.2018.09.015</w:t>
        </w:r>
      </w:hyperlink>
    </w:p>
    <w:bookmarkEnd w:id="42"/>
    <w:bookmarkStart w:id="44" w:name="ref-dahlhausen2018"/>
    <w:p>
      <w:pPr>
        <w:pStyle w:val="Bibliography"/>
      </w:pPr>
      <w:r>
        <w:t xml:space="preserve">Dahlhausen, J., Rötzer, T., Biber, P., Uhl, E., Pretzsch, H., 2018. Urban climate modifies tree growth in Berlin. Int J Biometeorol 62, 795–808.</w:t>
      </w:r>
      <w:r>
        <w:t xml:space="preserve"> </w:t>
      </w:r>
      <w:hyperlink r:id="rId43">
        <w:r>
          <w:rPr>
            <w:rStyle w:val="Hyperlink"/>
          </w:rPr>
          <w:t xml:space="preserve">https://doi.org/10.1007/s00484-017-1481-3</w:t>
        </w:r>
      </w:hyperlink>
    </w:p>
    <w:bookmarkEnd w:id="44"/>
    <w:bookmarkStart w:id="45" w:name="ref-endlicher2016"/>
    <w:p>
      <w:pPr>
        <w:pStyle w:val="Bibliography"/>
      </w:pPr>
      <w:r>
        <w:t xml:space="preserve">Endlicher, W., Scherer, D., Büter, B., Kuttler, W., Mathey, J., Schneider, C., 2016. Stadtnatur fördert gutes Stadtklima, in: Ökosystemleistungen in Der Stadt – Gesundheit Schützen Und Lebensqualität Erhöhen, 3.1. TEEB DE. TU Berlin, UFZ Leipzig, Berlin, Leipzig, pp. 51–63.</w:t>
      </w:r>
    </w:p>
    <w:bookmarkEnd w:id="45"/>
    <w:bookmarkStart w:id="47" w:name="ref-fenner2014"/>
    <w:p>
      <w:pPr>
        <w:pStyle w:val="Bibliography"/>
      </w:pPr>
      <w:r>
        <w:t xml:space="preserve">Fenner, D., Meier, F., Scherer, D., Polze, A., 2014. Spatial and temporal air temperature variability in Berlin, Germany, during the years 2001–2010. Urban Climate, ICUC8: The 8th International Conference on Urban Climate and the 10th Symposium on the Urban Environment 10, 308–331.</w:t>
      </w:r>
      <w:r>
        <w:t xml:space="preserve"> </w:t>
      </w:r>
      <w:hyperlink r:id="rId46">
        <w:r>
          <w:rPr>
            <w:rStyle w:val="Hyperlink"/>
          </w:rPr>
          <w:t xml:space="preserve">https://doi.org/10.1016/j.uclim.2014.02.004</w:t>
        </w:r>
      </w:hyperlink>
    </w:p>
    <w:bookmarkEnd w:id="47"/>
    <w:bookmarkStart w:id="49"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48">
        <w:r>
          <w:rPr>
            <w:rStyle w:val="Hyperlink"/>
          </w:rPr>
          <w:t xml:space="preserve">https://doi.org/10.1007/s00468-014-1019-9</w:t>
        </w:r>
      </w:hyperlink>
    </w:p>
    <w:bookmarkEnd w:id="49"/>
    <w:bookmarkStart w:id="51"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50">
        <w:r>
          <w:rPr>
            <w:rStyle w:val="Hyperlink"/>
          </w:rPr>
          <w:t xml:space="preserve">https://doi.org/10.1016/j.landurbplan.2015.06.005</w:t>
        </w:r>
      </w:hyperlink>
    </w:p>
    <w:bookmarkEnd w:id="51"/>
    <w:bookmarkStart w:id="53"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52">
        <w:r>
          <w:rPr>
            <w:rStyle w:val="Hyperlink"/>
          </w:rPr>
          <w:t xml:space="preserve">https://doi.org/10.3354/cr006045</w:t>
        </w:r>
      </w:hyperlink>
    </w:p>
    <w:bookmarkEnd w:id="53"/>
    <w:bookmarkStart w:id="55"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54">
        <w:r>
          <w:rPr>
            <w:rStyle w:val="Hyperlink"/>
          </w:rPr>
          <w:t xml:space="preserve">https://doi.org/10.1016/j.buildenv.2005.07.001</w:t>
        </w:r>
      </w:hyperlink>
    </w:p>
    <w:bookmarkEnd w:id="55"/>
    <w:bookmarkStart w:id="57" w:name="ref-hertel2019"/>
    <w:p>
      <w:pPr>
        <w:pStyle w:val="Bibliography"/>
      </w:pPr>
      <w:r>
        <w:t xml:space="preserve">Hertel, D., Schlink, U., 2019. Decomposition of urban temperatures for targeted climate change adaptation. Environmental Modelling &amp; Software 113, 20–28.</w:t>
      </w:r>
      <w:r>
        <w:t xml:space="preserve"> </w:t>
      </w:r>
      <w:hyperlink r:id="rId56">
        <w:r>
          <w:rPr>
            <w:rStyle w:val="Hyperlink"/>
          </w:rPr>
          <w:t xml:space="preserve">https://doi.org/10.1016/j.envsoft.2018.11.015</w:t>
        </w:r>
      </w:hyperlink>
    </w:p>
    <w:bookmarkEnd w:id="57"/>
    <w:bookmarkStart w:id="59"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58">
        <w:r>
          <w:rPr>
            <w:rStyle w:val="Hyperlink"/>
          </w:rPr>
          <w:t xml:space="preserve">https://doi.org/10.1016/0378-7788(88)90035-7</w:t>
        </w:r>
      </w:hyperlink>
    </w:p>
    <w:bookmarkEnd w:id="59"/>
    <w:bookmarkStart w:id="61" w:name="ref-jia2018"/>
    <w:p>
      <w:pPr>
        <w:pStyle w:val="Bibliography"/>
      </w:pPr>
      <w:r>
        <w:t xml:space="preserve">Jia, W., Zhao, S., Liu, S., 2018. Vegetation growth enhancement in urban environments of the Conterminous United States. Global Change Biology 24, 4084–4094.</w:t>
      </w:r>
      <w:r>
        <w:t xml:space="preserve"> </w:t>
      </w:r>
      <w:hyperlink r:id="rId60">
        <w:r>
          <w:rPr>
            <w:rStyle w:val="Hyperlink"/>
          </w:rPr>
          <w:t xml:space="preserve">https://doi.org/10.1111/gcb.14317</w:t>
        </w:r>
      </w:hyperlink>
    </w:p>
    <w:bookmarkEnd w:id="61"/>
    <w:bookmarkStart w:id="62" w:name="ref-kuttler2015"/>
    <w:p>
      <w:pPr>
        <w:pStyle w:val="Bibliography"/>
      </w:pPr>
      <w:r>
        <w:t xml:space="preserve">Kuttler, W., Miethke, A., Dütemeyer, D., Barlag, A.-B. (Eds.), 2015. Das klima von essen = the climate of essen. Westarp Wiss., Hohenwarsleben.</w:t>
      </w:r>
    </w:p>
    <w:bookmarkEnd w:id="62"/>
    <w:bookmarkStart w:id="64" w:name="ref-maras2016"/>
    <w:p>
      <w:pPr>
        <w:pStyle w:val="Bibliography"/>
      </w:pPr>
      <w:r>
        <w:t xml:space="preserve">Maras, I., Schmidt, T., Paas, B., Ziefle, M., Schneider, C., 2016. The impact of human-biometeorological factors on perceived thermal comfort in urban public places.</w:t>
      </w:r>
      <w:r>
        <w:t xml:space="preserve"> </w:t>
      </w:r>
      <w:hyperlink r:id="rId63">
        <w:r>
          <w:rPr>
            <w:rStyle w:val="Hyperlink"/>
          </w:rPr>
          <w:t xml:space="preserve">https://doi.org/http://dx.doi.org/10.18452/18162</w:t>
        </w:r>
      </w:hyperlink>
    </w:p>
    <w:bookmarkEnd w:id="64"/>
    <w:bookmarkStart w:id="66" w:name="ref-mayer1987"/>
    <w:p>
      <w:pPr>
        <w:pStyle w:val="Bibliography"/>
      </w:pPr>
      <w:r>
        <w:t xml:space="preserve">Mayer, H., Höppe, P., 1987. Thermal comfort of man in different urban environments. Theor Appl Climatol 38, 43–49.</w:t>
      </w:r>
      <w:r>
        <w:t xml:space="preserve"> </w:t>
      </w:r>
      <w:hyperlink r:id="rId65">
        <w:r>
          <w:rPr>
            <w:rStyle w:val="Hyperlink"/>
          </w:rPr>
          <w:t xml:space="preserve">https://doi.org/10.1007/BF00866252</w:t>
        </w:r>
      </w:hyperlink>
    </w:p>
    <w:bookmarkEnd w:id="66"/>
    <w:bookmarkStart w:id="68"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67">
        <w:r>
          <w:rPr>
            <w:rStyle w:val="Hyperlink"/>
          </w:rPr>
          <w:t xml:space="preserve">https://doi.org/10.1016/j.landurbplan.2018.11.004</w:t>
        </w:r>
      </w:hyperlink>
    </w:p>
    <w:bookmarkEnd w:id="68"/>
    <w:bookmarkStart w:id="70" w:name="ref-norton2015"/>
    <w:p>
      <w:pPr>
        <w:pStyle w:val="Bibliography"/>
      </w:pPr>
      <w:r>
        <w:t xml:space="preserve">Norton, B.A., Coutts, A.M., Livesley, S.J., Harris, R.J., Hunter, A.M., Williams, N.S.G., 2015. Planning for cooler cities: A framework to prioritise green infrastructure to mitigate high temperatures in urban landscapes. Landscape and Urban Planning 134, 127–138.</w:t>
      </w:r>
      <w:r>
        <w:t xml:space="preserve"> </w:t>
      </w:r>
      <w:hyperlink r:id="rId69">
        <w:r>
          <w:rPr>
            <w:rStyle w:val="Hyperlink"/>
          </w:rPr>
          <w:t xml:space="preserve">https://doi.org/10.1016/j.landurbplan.2014.10.018</w:t>
        </w:r>
      </w:hyperlink>
    </w:p>
    <w:bookmarkEnd w:id="70"/>
    <w:bookmarkStart w:id="72" w:name="ref-oke1982"/>
    <w:p>
      <w:pPr>
        <w:pStyle w:val="Bibliography"/>
      </w:pPr>
      <w:r>
        <w:t xml:space="preserve">Oke, T.R., 1982. The energetic basis of the urban heat island. Quarterly Journal of the Royal Meteorological Society 108, 1–24.</w:t>
      </w:r>
      <w:r>
        <w:t xml:space="preserve"> </w:t>
      </w:r>
      <w:hyperlink r:id="rId71">
        <w:r>
          <w:rPr>
            <w:rStyle w:val="Hyperlink"/>
          </w:rPr>
          <w:t xml:space="preserve">https://doi.org/10.1002/qj.49710845502</w:t>
        </w:r>
      </w:hyperlink>
    </w:p>
    <w:bookmarkEnd w:id="72"/>
    <w:bookmarkStart w:id="74"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73">
        <w:r>
          <w:rPr>
            <w:rStyle w:val="Hyperlink"/>
          </w:rPr>
          <w:t xml:space="preserve">https://doi.org/10.1078/1618-8667-00009</w:t>
        </w:r>
      </w:hyperlink>
    </w:p>
    <w:bookmarkEnd w:id="74"/>
    <w:bookmarkStart w:id="76" w:name="ref-pedersen2019"/>
    <w:p>
      <w:pPr>
        <w:pStyle w:val="Bibliography"/>
      </w:pPr>
      <w:r>
        <w:t xml:space="preserve">Pedersen, E.J., Miller, D.L., Simpson, G.L., Ross, N., 2019. Hierarchical generalized additive models in ecology: An introduction with mgcv. PeerJ 7, e6876.</w:t>
      </w:r>
      <w:r>
        <w:t xml:space="preserve"> </w:t>
      </w:r>
      <w:hyperlink r:id="rId75">
        <w:r>
          <w:rPr>
            <w:rStyle w:val="Hyperlink"/>
          </w:rPr>
          <w:t xml:space="preserve">https://doi.org/10.7717/peerj.6876</w:t>
        </w:r>
      </w:hyperlink>
    </w:p>
    <w:bookmarkEnd w:id="76"/>
    <w:bookmarkStart w:id="78"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77">
        <w:r>
          <w:rPr>
            <w:rStyle w:val="Hyperlink"/>
          </w:rPr>
          <w:t xml:space="preserve">https://doi.org/10.1038/s41598-017-14831-w</w:t>
        </w:r>
      </w:hyperlink>
    </w:p>
    <w:bookmarkEnd w:id="78"/>
    <w:bookmarkStart w:id="80" w:name="ref-quigley2004"/>
    <w:p>
      <w:pPr>
        <w:pStyle w:val="Bibliography"/>
      </w:pPr>
      <w:r>
        <w:t xml:space="preserve">Quigley, M.F., 2004. Street trees and rural conspecifics: Will long-lived trees reach full size in urban conditions? Urban Ecosystems 7, 29–39.</w:t>
      </w:r>
      <w:r>
        <w:t xml:space="preserve"> </w:t>
      </w:r>
      <w:hyperlink r:id="rId79">
        <w:r>
          <w:rPr>
            <w:rStyle w:val="Hyperlink"/>
          </w:rPr>
          <w:t xml:space="preserve">https://doi.org/10.1023/B:UECO.0000020170.58404.e9</w:t>
        </w:r>
      </w:hyperlink>
    </w:p>
    <w:bookmarkEnd w:id="80"/>
    <w:bookmarkStart w:id="82" w:name="ref-randrup2001"/>
    <w:p>
      <w:pPr>
        <w:pStyle w:val="Bibliography"/>
      </w:pPr>
      <w:r>
        <w:t xml:space="preserve">Randrup, T.B., McPherson, E.G., Costello, L.R., 2001. A review of tree root conflicts with sidewalks, curbs, and roads. Urban Ecosystems 5, 209–225.</w:t>
      </w:r>
      <w:r>
        <w:t xml:space="preserve"> </w:t>
      </w:r>
      <w:hyperlink r:id="rId81">
        <w:r>
          <w:rPr>
            <w:rStyle w:val="Hyperlink"/>
          </w:rPr>
          <w:t xml:space="preserve">https://doi.org/10.1023/A:1024046004731</w:t>
        </w:r>
      </w:hyperlink>
    </w:p>
    <w:bookmarkEnd w:id="82"/>
    <w:bookmarkStart w:id="83" w:name="ref-rcoreteam2020"/>
    <w:p>
      <w:pPr>
        <w:pStyle w:val="Bibliography"/>
      </w:pPr>
      <w:r>
        <w:t xml:space="preserve">R Core Team, 2020. R: A language and environment for statistical computing. R Foundation for Statistical Computing, Vienna, Austria.</w:t>
      </w:r>
    </w:p>
    <w:bookmarkEnd w:id="83"/>
    <w:bookmarkStart w:id="84" w:name="ref-rhoades1999"/>
    <w:p>
      <w:pPr>
        <w:pStyle w:val="Bibliography"/>
      </w:pPr>
      <w:r>
        <w:t xml:space="preserve">Rhoades, R.W., Stipes, R.J., 1999. Growth of trees on the Virgina Tech Campus in response to various factors 7.</w:t>
      </w:r>
    </w:p>
    <w:bookmarkEnd w:id="84"/>
    <w:bookmarkStart w:id="86" w:name="ref-roloff2009"/>
    <w:p>
      <w:pPr>
        <w:pStyle w:val="Bibliography"/>
      </w:pPr>
      <w:r>
        <w:t xml:space="preserve">Roloff, A., Korn, S., Gillner, S., 2009. The Climate-Species-Matrix to select tree species for urban habitats considering climate change. Urban Forestry &amp; Urban Greening 8, 295–308.</w:t>
      </w:r>
      <w:r>
        <w:t xml:space="preserve"> </w:t>
      </w:r>
      <w:hyperlink r:id="rId85">
        <w:r>
          <w:rPr>
            <w:rStyle w:val="Hyperlink"/>
          </w:rPr>
          <w:t xml:space="preserve">https://doi.org/10.1016/j.ufug.2009.08.002</w:t>
        </w:r>
      </w:hyperlink>
    </w:p>
    <w:bookmarkEnd w:id="86"/>
    <w:bookmarkStart w:id="88" w:name="ref-tzoulas2007"/>
    <w:p>
      <w:pPr>
        <w:pStyle w:val="Bibliography"/>
      </w:pPr>
      <w:r>
        <w:t xml:space="preserve">Tzoulas, K., Korpela, K., Venn, S., Yli-Pelkonen, V., Kaźmierczak, A., Niemela, J., James, P., 2007. Promoting ecosystem and human health in urban areas using Green Infrastructure: A literature review. Landscape and Urban Planning 81, 167–178.</w:t>
      </w:r>
      <w:r>
        <w:t xml:space="preserve"> </w:t>
      </w:r>
      <w:hyperlink r:id="rId87">
        <w:r>
          <w:rPr>
            <w:rStyle w:val="Hyperlink"/>
          </w:rPr>
          <w:t xml:space="preserve">https://doi.org/10.1016/j.landurbplan.2007.02.001</w:t>
        </w:r>
      </w:hyperlink>
    </w:p>
    <w:bookmarkEnd w:id="88"/>
    <w:bookmarkStart w:id="89" w:name="ref-wood2017"/>
    <w:p>
      <w:pPr>
        <w:pStyle w:val="Bibliography"/>
      </w:pPr>
      <w:r>
        <w:t xml:space="preserve">Wood, S.N., 2017. Generalized additive models: An introduction with R. CRC press.</w:t>
      </w:r>
    </w:p>
    <w:bookmarkEnd w:id="89"/>
    <w:bookmarkStart w:id="91" w:name="ref-zhao2016"/>
    <w:p>
      <w:pPr>
        <w:pStyle w:val="Bibliography"/>
      </w:pPr>
      <w:r>
        <w:t xml:space="preserve">Zhao, S., Liu, S., Zhou, D., 2016. Prevalent vegetation growth enhancement in urban environment. PNAS 113, 6313–6318.</w:t>
      </w:r>
      <w:r>
        <w:t xml:space="preserve"> </w:t>
      </w:r>
      <w:hyperlink r:id="rId90">
        <w:r>
          <w:rPr>
            <w:rStyle w:val="Hyperlink"/>
          </w:rPr>
          <w:t xml:space="preserve">https://doi.org/10.1073/pnas.1602312113</w:t>
        </w:r>
      </w:hyperlink>
    </w:p>
    <w:bookmarkEnd w:id="91"/>
    <w:bookmarkEnd w:id="92"/>
    <w:p>
      <w:pPr>
        <w:pStyle w:val="Heading5"/>
      </w:pPr>
      <w:bookmarkStart w:id="93" w:name="pagebreak"/>
      <w:r>
        <w:t xml:space="preserve">pagebreak</w:t>
      </w:r>
      <w:bookmarkEnd w:id="93"/>
    </w:p>
    <w:p>
      <w:pPr>
        <w:pStyle w:val="Heading3"/>
      </w:pPr>
      <w:bookmarkStart w:id="94" w:name="colophon"/>
      <w:r>
        <w:t xml:space="preserve">Colophon</w:t>
      </w:r>
      <w:bookmarkEnd w:id="94"/>
    </w:p>
    <w:p>
      <w:pPr>
        <w:pStyle w:val="FirstParagraph"/>
      </w:pPr>
      <w:r>
        <w:t xml:space="preserve">This report was generated on 2020-06-04 17:33:24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4.0.0 (2020-04-24)</w:t>
      </w:r>
      <w:r>
        <w:br/>
      </w:r>
      <w:r>
        <w:rPr>
          <w:rStyle w:val="VerbatimChar"/>
        </w:rPr>
        <w:t xml:space="preserve">#&gt;  os       Ubuntu 20.04 LTS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Europe/Berlin               </w:t>
      </w:r>
      <w:r>
        <w:br/>
      </w:r>
      <w:r>
        <w:rPr>
          <w:rStyle w:val="VerbatimChar"/>
        </w:rPr>
        <w:t xml:space="preserve">#&gt;  date     2020-06-04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abind          1.4-5      2016-07-21 [?] CRAN (R 4.0.0)</w:t>
      </w:r>
      <w:r>
        <w:br/>
      </w:r>
      <w:r>
        <w:rPr>
          <w:rStyle w:val="VerbatimChar"/>
        </w:rPr>
        <w:t xml:space="preserve">#&gt;  P assertthat     0.2.1      2019-03-21 [?] CRAN (R 4.0.0)</w:t>
      </w:r>
      <w:r>
        <w:br/>
      </w:r>
      <w:r>
        <w:rPr>
          <w:rStyle w:val="VerbatimChar"/>
        </w:rPr>
        <w:t xml:space="preserve">#&gt;  P backports      1.1.7      2020-05-13 [?] CRAN (R 4.0.0)</w:t>
      </w:r>
      <w:r>
        <w:br/>
      </w:r>
      <w:r>
        <w:rPr>
          <w:rStyle w:val="VerbatimChar"/>
        </w:rPr>
        <w:t xml:space="preserve">#&gt;  P base64url      1.4        2018-05-14 [?] CRAN (R 4.0.0)</w:t>
      </w:r>
      <w:r>
        <w:br/>
      </w:r>
      <w:r>
        <w:rPr>
          <w:rStyle w:val="VerbatimChar"/>
        </w:rPr>
        <w:t xml:space="preserve">#&gt;    berlin.trees   0.0.0.9000 2020-06-04 [1] local         </w:t>
      </w:r>
      <w:r>
        <w:br/>
      </w:r>
      <w:r>
        <w:rPr>
          <w:rStyle w:val="VerbatimChar"/>
        </w:rPr>
        <w:t xml:space="preserve">#&gt;  P blob           1.2.1      2020-01-20 [?] CRAN (R 4.0.0)</w:t>
      </w:r>
      <w:r>
        <w:br/>
      </w:r>
      <w:r>
        <w:rPr>
          <w:rStyle w:val="VerbatimChar"/>
        </w:rPr>
        <w:t xml:space="preserve">#&gt;  P bookdown       0.19       2020-05-15 [?] CRAN (R 4.0.0)</w:t>
      </w:r>
      <w:r>
        <w:br/>
      </w:r>
      <w:r>
        <w:rPr>
          <w:rStyle w:val="VerbatimChar"/>
        </w:rPr>
        <w:t xml:space="preserve">#&gt;  P boot           1.3-25     2020-04-26 [?] CRAN (R 4.0.0)</w:t>
      </w:r>
      <w:r>
        <w:br/>
      </w:r>
      <w:r>
        <w:rPr>
          <w:rStyle w:val="VerbatimChar"/>
        </w:rPr>
        <w:t xml:space="preserve">#&gt;  P callr          3.4.3      2020-03-28 [?] CRAN (R 4.0.0)</w:t>
      </w:r>
      <w:r>
        <w:br/>
      </w:r>
      <w:r>
        <w:rPr>
          <w:rStyle w:val="VerbatimChar"/>
        </w:rPr>
        <w:t xml:space="preserve">#&gt;  P ckanr          0.4.0      2019-10-11 [?] CRAN (R 4.0.0)</w:t>
      </w:r>
      <w:r>
        <w:br/>
      </w:r>
      <w:r>
        <w:rPr>
          <w:rStyle w:val="VerbatimChar"/>
        </w:rPr>
        <w:t xml:space="preserve">#&gt;  P class          7.3-17     2020-04-26 [?] CRAN (R 4.0.0)</w:t>
      </w:r>
      <w:r>
        <w:br/>
      </w:r>
      <w:r>
        <w:rPr>
          <w:rStyle w:val="VerbatimChar"/>
        </w:rPr>
        <w:t xml:space="preserve">#&gt;  P classInt       0.4-3      2020-04-07 [?] CRAN (R 4.0.0)</w:t>
      </w:r>
      <w:r>
        <w:br/>
      </w:r>
      <w:r>
        <w:rPr>
          <w:rStyle w:val="VerbatimChar"/>
        </w:rPr>
        <w:t xml:space="preserve">#&gt;  P cli            2.0.2      2020-02-28 [?] CRAN (R 4.0.0)</w:t>
      </w:r>
      <w:r>
        <w:br/>
      </w:r>
      <w:r>
        <w:rPr>
          <w:rStyle w:val="VerbatimChar"/>
        </w:rPr>
        <w:t xml:space="preserve">#&gt;  P codetools      0.2-16     2018-12-24 [?] CRAN (R 4.0.0)</w:t>
      </w:r>
      <w:r>
        <w:br/>
      </w:r>
      <w:r>
        <w:rPr>
          <w:rStyle w:val="VerbatimChar"/>
        </w:rPr>
        <w:t xml:space="preserve">#&gt;  P colorspace     1.4-1      2019-03-18 [?] CRAN (R 4.0.0)</w:t>
      </w:r>
      <w:r>
        <w:br/>
      </w:r>
      <w:r>
        <w:rPr>
          <w:rStyle w:val="VerbatimChar"/>
        </w:rPr>
        <w:t xml:space="preserve">#&gt;  P crayon         1.3.4      2017-09-16 [?] CRAN (R 4.0.0)</w:t>
      </w:r>
      <w:r>
        <w:br/>
      </w:r>
      <w:r>
        <w:rPr>
          <w:rStyle w:val="VerbatimChar"/>
        </w:rPr>
        <w:t xml:space="preserve">#&gt;  P data.table     1.12.8     2019-12-09 [?] CRAN (R 4.0.0)</w:t>
      </w:r>
      <w:r>
        <w:br/>
      </w:r>
      <w:r>
        <w:rPr>
          <w:rStyle w:val="VerbatimChar"/>
        </w:rPr>
        <w:t xml:space="preserve">#&gt;  P DBI            1.1.0      2019-12-15 [?] CRAN (R 4.0.0)</w:t>
      </w:r>
      <w:r>
        <w:br/>
      </w:r>
      <w:r>
        <w:rPr>
          <w:rStyle w:val="VerbatimChar"/>
        </w:rPr>
        <w:t xml:space="preserve">#&gt;  P dbplyr         1.4.4      2020-05-27 [?] CRAN (R 4.0.0)</w:t>
      </w:r>
      <w:r>
        <w:br/>
      </w:r>
      <w:r>
        <w:rPr>
          <w:rStyle w:val="VerbatimChar"/>
        </w:rPr>
        <w:t xml:space="preserve">#&gt;  P desc           1.2.0      2018-05-01 [?] CRAN (R 4.0.0)</w:t>
      </w:r>
      <w:r>
        <w:br/>
      </w:r>
      <w:r>
        <w:rPr>
          <w:rStyle w:val="VerbatimChar"/>
        </w:rPr>
        <w:t xml:space="preserve">#&gt;  P devtools       2.3.0      2020-04-10 [?] CRAN (R 4.0.0)</w:t>
      </w:r>
      <w:r>
        <w:br/>
      </w:r>
      <w:r>
        <w:rPr>
          <w:rStyle w:val="VerbatimChar"/>
        </w:rPr>
        <w:t xml:space="preserve">#&gt;  P digest         0.6.25     2020-02-23 [?] CRAN (R 4.0.0)</w:t>
      </w:r>
      <w:r>
        <w:br/>
      </w:r>
      <w:r>
        <w:rPr>
          <w:rStyle w:val="VerbatimChar"/>
        </w:rPr>
        <w:t xml:space="preserve">#&gt;  P dplyr        * 1.0.0      2020-05-29 [?] CRAN (R 4.0.0)</w:t>
      </w:r>
      <w:r>
        <w:br/>
      </w:r>
      <w:r>
        <w:rPr>
          <w:rStyle w:val="VerbatimChar"/>
        </w:rPr>
        <w:t xml:space="preserve">#&gt;  P drake        * 7.12.2     2020-06-02 [?] CRAN (R 4.0.0)</w:t>
      </w:r>
      <w:r>
        <w:br/>
      </w:r>
      <w:r>
        <w:rPr>
          <w:rStyle w:val="VerbatimChar"/>
        </w:rPr>
        <w:t xml:space="preserve">#&gt;  P e1071          1.7-3      2019-11-26 [?] CRAN (R 4.0.0)</w:t>
      </w:r>
      <w:r>
        <w:br/>
      </w:r>
      <w:r>
        <w:rPr>
          <w:rStyle w:val="VerbatimChar"/>
        </w:rPr>
        <w:t xml:space="preserve">#&gt;  P ellipsis       0.3.1      2020-05-15 [?] CRAN (R 4.0.0)</w:t>
      </w:r>
      <w:r>
        <w:br/>
      </w:r>
      <w:r>
        <w:rPr>
          <w:rStyle w:val="VerbatimChar"/>
        </w:rPr>
        <w:t xml:space="preserve">#&gt;  P evaluate       0.14       2019-05-28 [?] CRAN (R 4.0.0)</w:t>
      </w:r>
      <w:r>
        <w:br/>
      </w:r>
      <w:r>
        <w:rPr>
          <w:rStyle w:val="VerbatimChar"/>
        </w:rPr>
        <w:t xml:space="preserve">#&gt;  P extrafont      0.17       2014-12-08 [?] CRAN (R 4.0.0)</w:t>
      </w:r>
      <w:r>
        <w:br/>
      </w:r>
      <w:r>
        <w:rPr>
          <w:rStyle w:val="VerbatimChar"/>
        </w:rPr>
        <w:t xml:space="preserve">#&gt;  P extrafontdb    1.0        2012-06-11 [?] CRAN (R 4.0.0)</w:t>
      </w:r>
      <w:r>
        <w:br/>
      </w:r>
      <w:r>
        <w:rPr>
          <w:rStyle w:val="VerbatimChar"/>
        </w:rPr>
        <w:t xml:space="preserve">#&gt;  P fansi          0.4.1      2020-01-08 [?] CRAN (R 4.0.0)</w:t>
      </w:r>
      <w:r>
        <w:br/>
      </w:r>
      <w:r>
        <w:rPr>
          <w:rStyle w:val="VerbatimChar"/>
        </w:rPr>
        <w:t xml:space="preserve">#&gt;  P farver         2.0.3      2020-01-16 [?] CRAN (R 4.0.0)</w:t>
      </w:r>
      <w:r>
        <w:br/>
      </w:r>
      <w:r>
        <w:rPr>
          <w:rStyle w:val="VerbatimChar"/>
        </w:rPr>
        <w:t xml:space="preserve">#&gt;  P filelock       1.0.2      2018-10-05 [?] CRAN (R 4.0.0)</w:t>
      </w:r>
      <w:r>
        <w:br/>
      </w:r>
      <w:r>
        <w:rPr>
          <w:rStyle w:val="VerbatimChar"/>
        </w:rPr>
        <w:t xml:space="preserve">#&gt;  P forcats        0.5.0      2020-03-01 [?] CRAN (R 4.0.0)</w:t>
      </w:r>
      <w:r>
        <w:br/>
      </w:r>
      <w:r>
        <w:rPr>
          <w:rStyle w:val="VerbatimChar"/>
        </w:rPr>
        <w:t xml:space="preserve">#&gt;  P fs             1.4.1      2020-04-04 [?] CRAN (R 4.0.0)</w:t>
      </w:r>
      <w:r>
        <w:br/>
      </w:r>
      <w:r>
        <w:rPr>
          <w:rStyle w:val="VerbatimChar"/>
        </w:rPr>
        <w:t xml:space="preserve">#&gt;  P furrr          0.1.0      2018-05-16 [?] CRAN (R 4.0.0)</w:t>
      </w:r>
      <w:r>
        <w:br/>
      </w:r>
      <w:r>
        <w:rPr>
          <w:rStyle w:val="VerbatimChar"/>
        </w:rPr>
        <w:t xml:space="preserve">#&gt;  P future       * 1.17.0     2020-04-18 [?] CRAN (R 4.0.0)</w:t>
      </w:r>
      <w:r>
        <w:br/>
      </w:r>
      <w:r>
        <w:rPr>
          <w:rStyle w:val="VerbatimChar"/>
        </w:rPr>
        <w:t xml:space="preserve">#&gt;  P future.callr * 0.5.0      2019-09-28 [?] CRAN (R 4.0.0)</w:t>
      </w:r>
      <w:r>
        <w:br/>
      </w:r>
      <w:r>
        <w:rPr>
          <w:rStyle w:val="VerbatimChar"/>
        </w:rPr>
        <w:t xml:space="preserve">#&gt;  P generics       0.0.2      2018-11-29 [?] CRAN (R 4.0.0)</w:t>
      </w:r>
      <w:r>
        <w:br/>
      </w:r>
      <w:r>
        <w:rPr>
          <w:rStyle w:val="VerbatimChar"/>
        </w:rPr>
        <w:t xml:space="preserve">#&gt;  P ggplot2        3.3.1      2020-05-28 [?] CRAN (R 4.0.0)</w:t>
      </w:r>
      <w:r>
        <w:br/>
      </w:r>
      <w:r>
        <w:rPr>
          <w:rStyle w:val="VerbatimChar"/>
        </w:rPr>
        <w:t xml:space="preserve">#&gt;  P globals        0.12.5     2019-12-07 [?] CRAN (R 4.0.0)</w:t>
      </w:r>
      <w:r>
        <w:br/>
      </w:r>
      <w:r>
        <w:rPr>
          <w:rStyle w:val="VerbatimChar"/>
        </w:rPr>
        <w:t xml:space="preserve">#&gt;  P glue           1.4.1      2020-05-13 [?] CRAN (R 4.0.0)</w:t>
      </w:r>
      <w:r>
        <w:br/>
      </w:r>
      <w:r>
        <w:rPr>
          <w:rStyle w:val="VerbatimChar"/>
        </w:rPr>
        <w:t xml:space="preserve">#&gt;  P gtable         0.3.0      2019-03-25 [?] CRAN (R 4.0.0)</w:t>
      </w:r>
      <w:r>
        <w:br/>
      </w:r>
      <w:r>
        <w:rPr>
          <w:rStyle w:val="VerbatimChar"/>
        </w:rPr>
        <w:t xml:space="preserve">#&gt;  P here           0.1        2017-05-28 [?] CRAN (R 4.0.0)</w:t>
      </w:r>
      <w:r>
        <w:br/>
      </w:r>
      <w:r>
        <w:rPr>
          <w:rStyle w:val="VerbatimChar"/>
        </w:rPr>
        <w:t xml:space="preserve">#&gt;  P hms            0.5.3      2020-01-08 [?] CRAN (R 4.0.0)</w:t>
      </w:r>
      <w:r>
        <w:br/>
      </w:r>
      <w:r>
        <w:rPr>
          <w:rStyle w:val="VerbatimChar"/>
        </w:rPr>
        <w:t xml:space="preserve">#&gt;  P htmltools      0.4.0      2019-10-04 [?] CRAN (R 4.0.0)</w:t>
      </w:r>
      <w:r>
        <w:br/>
      </w:r>
      <w:r>
        <w:rPr>
          <w:rStyle w:val="VerbatimChar"/>
        </w:rPr>
        <w:t xml:space="preserve">#&gt;  P httr           1.4.1      2019-08-05 [?] CRAN (R 4.0.0)</w:t>
      </w:r>
      <w:r>
        <w:br/>
      </w:r>
      <w:r>
        <w:rPr>
          <w:rStyle w:val="VerbatimChar"/>
        </w:rPr>
        <w:t xml:space="preserve">#&gt;  P igraph         1.2.5      2020-03-19 [?] CRAN (R 4.0.0)</w:t>
      </w:r>
      <w:r>
        <w:br/>
      </w:r>
      <w:r>
        <w:rPr>
          <w:rStyle w:val="VerbatimChar"/>
        </w:rPr>
        <w:t xml:space="preserve">#&gt;  P jsonlite       1.6.1      2020-02-02 [?] CRAN (R 4.0.0)</w:t>
      </w:r>
      <w:r>
        <w:br/>
      </w:r>
      <w:r>
        <w:rPr>
          <w:rStyle w:val="VerbatimChar"/>
        </w:rPr>
        <w:t xml:space="preserve">#&gt;  P kableExtra   * 1.1.0      2019-03-16 [?] CRAN (R 4.0.0)</w:t>
      </w:r>
      <w:r>
        <w:br/>
      </w:r>
      <w:r>
        <w:rPr>
          <w:rStyle w:val="VerbatimChar"/>
        </w:rPr>
        <w:t xml:space="preserve">#&gt;  P KernSmooth     2.23-17    2020-04-26 [?] CRAN (R 4.0.0)</w:t>
      </w:r>
      <w:r>
        <w:br/>
      </w:r>
      <w:r>
        <w:rPr>
          <w:rStyle w:val="VerbatimChar"/>
        </w:rPr>
        <w:t xml:space="preserve">#&gt;  P knitr          1.28       2020-02-06 [?] CRAN (R 4.0.0)</w:t>
      </w:r>
      <w:r>
        <w:br/>
      </w:r>
      <w:r>
        <w:rPr>
          <w:rStyle w:val="VerbatimChar"/>
        </w:rPr>
        <w:t xml:space="preserve">#&gt;  P labeling       0.3        2014-08-23 [?] CRAN (R 4.0.0)</w:t>
      </w:r>
      <w:r>
        <w:br/>
      </w:r>
      <w:r>
        <w:rPr>
          <w:rStyle w:val="VerbatimChar"/>
        </w:rPr>
        <w:t xml:space="preserve">#&gt;  P lattice        0.20-41    2020-04-02 [?] CRAN (R 4.0.0)</w:t>
      </w:r>
      <w:r>
        <w:br/>
      </w:r>
      <w:r>
        <w:rPr>
          <w:rStyle w:val="VerbatimChar"/>
        </w:rPr>
        <w:t xml:space="preserve">#&gt;  P lifecycle      0.2.0      2020-03-06 [?] CRAN (R 4.0.0)</w:t>
      </w:r>
      <w:r>
        <w:br/>
      </w:r>
      <w:r>
        <w:rPr>
          <w:rStyle w:val="VerbatimChar"/>
        </w:rPr>
        <w:t xml:space="preserve">#&gt;  P listenv        0.8.0      2019-12-05 [?] CRAN (R 4.0.0)</w:t>
      </w:r>
      <w:r>
        <w:br/>
      </w:r>
      <w:r>
        <w:rPr>
          <w:rStyle w:val="VerbatimChar"/>
        </w:rPr>
        <w:t xml:space="preserve">#&gt;  P lme4           1.1-23     2020-04-07 [?] CRAN (R 4.0.0)</w:t>
      </w:r>
      <w:r>
        <w:br/>
      </w:r>
      <w:r>
        <w:rPr>
          <w:rStyle w:val="VerbatimChar"/>
        </w:rPr>
        <w:t xml:space="preserve">#&gt;  P lwgeom         0.2-4      2020-05-20 [?] CRAN (R 4.0.0)</w:t>
      </w:r>
      <w:r>
        <w:br/>
      </w:r>
      <w:r>
        <w:rPr>
          <w:rStyle w:val="VerbatimChar"/>
        </w:rPr>
        <w:t xml:space="preserve">#&gt;  P magrittr       1.5        2014-11-22 [?] CRAN (R 4.0.0)</w:t>
      </w:r>
      <w:r>
        <w:br/>
      </w:r>
      <w:r>
        <w:rPr>
          <w:rStyle w:val="VerbatimChar"/>
        </w:rPr>
        <w:t xml:space="preserve">#&gt;  P MASS           7.3-51.6   2020-04-26 [?] CRAN (R 4.0.0)</w:t>
      </w:r>
      <w:r>
        <w:br/>
      </w:r>
      <w:r>
        <w:rPr>
          <w:rStyle w:val="VerbatimChar"/>
        </w:rPr>
        <w:t xml:space="preserve">#&gt;  P Matrix         1.2-18     2019-11-27 [?] CRAN (R 4.0.0)</w:t>
      </w:r>
      <w:r>
        <w:br/>
      </w:r>
      <w:r>
        <w:rPr>
          <w:rStyle w:val="VerbatimChar"/>
        </w:rPr>
        <w:t xml:space="preserve">#&gt;  P memoise        1.1.0      2017-04-21 [?] CRAN (R 4.0.0)</w:t>
      </w:r>
      <w:r>
        <w:br/>
      </w:r>
      <w:r>
        <w:rPr>
          <w:rStyle w:val="VerbatimChar"/>
        </w:rPr>
        <w:t xml:space="preserve">#&gt;  P minqa          1.2.4      2014-10-09 [?] CRAN (R 4.0.0)</w:t>
      </w:r>
      <w:r>
        <w:br/>
      </w:r>
      <w:r>
        <w:rPr>
          <w:rStyle w:val="VerbatimChar"/>
        </w:rPr>
        <w:t xml:space="preserve">#&gt;  P munsell        0.5.0      2018-06-12 [?] CRAN (R 4.0.0)</w:t>
      </w:r>
      <w:r>
        <w:br/>
      </w:r>
      <w:r>
        <w:rPr>
          <w:rStyle w:val="VerbatimChar"/>
        </w:rPr>
        <w:t xml:space="preserve">#&gt;  P nlme           3.1-148    2020-05-24 [?] CRAN (R 4.0.0)</w:t>
      </w:r>
      <w:r>
        <w:br/>
      </w:r>
      <w:r>
        <w:rPr>
          <w:rStyle w:val="VerbatimChar"/>
        </w:rPr>
        <w:t xml:space="preserve">#&gt;  P nloptr         1.2.2.1    2020-03-11 [?] CRAN (R 4.0.0)</w:t>
      </w:r>
      <w:r>
        <w:br/>
      </w:r>
      <w:r>
        <w:rPr>
          <w:rStyle w:val="VerbatimChar"/>
        </w:rPr>
        <w:t xml:space="preserve">#&gt;  P pillar         1.4.4      2020-05-05 [?] CRAN (R 4.0.0)</w:t>
      </w:r>
      <w:r>
        <w:br/>
      </w:r>
      <w:r>
        <w:rPr>
          <w:rStyle w:val="VerbatimChar"/>
        </w:rPr>
        <w:t xml:space="preserve">#&gt;  P pkgbuild       1.0.8      2020-05-07 [?] CRAN (R 4.0.0)</w:t>
      </w:r>
      <w:r>
        <w:br/>
      </w:r>
      <w:r>
        <w:rPr>
          <w:rStyle w:val="VerbatimChar"/>
        </w:rPr>
        <w:t xml:space="preserve">#&gt;  P pkgconfig      2.0.3      2019-09-22 [?] CRAN (R 4.0.0)</w:t>
      </w:r>
      <w:r>
        <w:br/>
      </w:r>
      <w:r>
        <w:rPr>
          <w:rStyle w:val="VerbatimChar"/>
        </w:rPr>
        <w:t xml:space="preserve">#&gt;  P pkgload        1.1.0      2020-05-29 [?] CRAN (R 4.0.0)</w:t>
      </w:r>
      <w:r>
        <w:br/>
      </w:r>
      <w:r>
        <w:rPr>
          <w:rStyle w:val="VerbatimChar"/>
        </w:rPr>
        <w:t xml:space="preserve">#&gt;  P prettyunits    1.1.1      2020-01-24 [?] CRAN (R 4.0.0)</w:t>
      </w:r>
      <w:r>
        <w:br/>
      </w:r>
      <w:r>
        <w:rPr>
          <w:rStyle w:val="VerbatimChar"/>
        </w:rPr>
        <w:t xml:space="preserve">#&gt;  P processx       3.4.2      2020-02-09 [?] CRAN (R 4.0.0)</w:t>
      </w:r>
      <w:r>
        <w:br/>
      </w:r>
      <w:r>
        <w:rPr>
          <w:rStyle w:val="VerbatimChar"/>
        </w:rPr>
        <w:t xml:space="preserve">#&gt;  P ps             1.3.3      2020-05-08 [?] CRAN (R 4.0.0)</w:t>
      </w:r>
      <w:r>
        <w:br/>
      </w:r>
      <w:r>
        <w:rPr>
          <w:rStyle w:val="VerbatimChar"/>
        </w:rPr>
        <w:t xml:space="preserve">#&gt;  P purrr          0.3.4      2020-04-17 [?] CRAN (R 4.0.0)</w:t>
      </w:r>
      <w:r>
        <w:br/>
      </w:r>
      <w:r>
        <w:rPr>
          <w:rStyle w:val="VerbatimChar"/>
        </w:rPr>
        <w:t xml:space="preserve">#&gt;  P R6             2.4.1      2019-11-12 [?] CRAN (R 4.0.0)</w:t>
      </w:r>
      <w:r>
        <w:br/>
      </w:r>
      <w:r>
        <w:rPr>
          <w:rStyle w:val="VerbatimChar"/>
        </w:rPr>
        <w:t xml:space="preserve">#&gt;  P raster         3.1-5      2020-04-19 [?] CRAN (R 4.0.0)</w:t>
      </w:r>
      <w:r>
        <w:br/>
      </w:r>
      <w:r>
        <w:rPr>
          <w:rStyle w:val="VerbatimChar"/>
        </w:rPr>
        <w:t xml:space="preserve">#&gt;  P RColorBrewer   1.1-2      2014-12-07 [?] CRAN (R 4.0.0)</w:t>
      </w:r>
      <w:r>
        <w:br/>
      </w:r>
      <w:r>
        <w:rPr>
          <w:rStyle w:val="VerbatimChar"/>
        </w:rPr>
        <w:t xml:space="preserve">#&gt;  P Rcpp           1.0.4.6    2020-04-09 [?] CRAN (R 4.0.0)</w:t>
      </w:r>
      <w:r>
        <w:br/>
      </w:r>
      <w:r>
        <w:rPr>
          <w:rStyle w:val="VerbatimChar"/>
        </w:rPr>
        <w:t xml:space="preserve">#&gt;  P readr          1.3.1      2018-12-21 [?] CRAN (R 4.0.0)</w:t>
      </w:r>
      <w:r>
        <w:br/>
      </w:r>
      <w:r>
        <w:rPr>
          <w:rStyle w:val="VerbatimChar"/>
        </w:rPr>
        <w:t xml:space="preserve">#&gt;  P remotes        2.1.1      2020-02-15 [?] CRAN (R 4.0.0)</w:t>
      </w:r>
      <w:r>
        <w:br/>
      </w:r>
      <w:r>
        <w:rPr>
          <w:rStyle w:val="VerbatimChar"/>
        </w:rPr>
        <w:t xml:space="preserve">#&gt;    renv           0.10.0     2020-05-06 [1] CRAN (R 4.0.0)</w:t>
      </w:r>
      <w:r>
        <w:br/>
      </w:r>
      <w:r>
        <w:rPr>
          <w:rStyle w:val="VerbatimChar"/>
        </w:rPr>
        <w:t xml:space="preserve">#&gt;  P rgdal          1.5-8      2020-05-28 [?] CRAN (R 4.0.0)</w:t>
      </w:r>
      <w:r>
        <w:br/>
      </w:r>
      <w:r>
        <w:rPr>
          <w:rStyle w:val="VerbatimChar"/>
        </w:rPr>
        <w:t xml:space="preserve">#&gt;  P rlang          0.4.6      2020-05-02 [?] CRAN (R 4.0.0)</w:t>
      </w:r>
      <w:r>
        <w:br/>
      </w:r>
      <w:r>
        <w:rPr>
          <w:rStyle w:val="VerbatimChar"/>
        </w:rPr>
        <w:t xml:space="preserve">#&gt;  P rmarkdown      2.2        2020-05-31 [?] CRAN (R 4.0.0)</w:t>
      </w:r>
      <w:r>
        <w:br/>
      </w:r>
      <w:r>
        <w:rPr>
          <w:rStyle w:val="VerbatimChar"/>
        </w:rPr>
        <w:t xml:space="preserve">#&gt;  P rprojroot      1.3-2      2018-01-03 [?] CRAN (R 4.0.0)</w:t>
      </w:r>
      <w:r>
        <w:br/>
      </w:r>
      <w:r>
        <w:rPr>
          <w:rStyle w:val="VerbatimChar"/>
        </w:rPr>
        <w:t xml:space="preserve">#&gt;  P rstudioapi     0.11       2020-02-07 [?] CRAN (R 4.0.0)</w:t>
      </w:r>
      <w:r>
        <w:br/>
      </w:r>
      <w:r>
        <w:rPr>
          <w:rStyle w:val="VerbatimChar"/>
        </w:rPr>
        <w:t xml:space="preserve">#&gt;  P Rttf2pt1       1.3.8      2020-01-10 [?] CRAN (R 4.0.0)</w:t>
      </w:r>
      <w:r>
        <w:br/>
      </w:r>
      <w:r>
        <w:rPr>
          <w:rStyle w:val="VerbatimChar"/>
        </w:rPr>
        <w:t xml:space="preserve">#&gt;  P rvest          0.3.5      2019-11-08 [?] CRAN (R 4.0.0)</w:t>
      </w:r>
      <w:r>
        <w:br/>
      </w:r>
      <w:r>
        <w:rPr>
          <w:rStyle w:val="VerbatimChar"/>
        </w:rPr>
        <w:t xml:space="preserve">#&gt;  P scales         1.1.1      2020-05-11 [?] CRAN (R 4.0.0)</w:t>
      </w:r>
      <w:r>
        <w:br/>
      </w:r>
      <w:r>
        <w:rPr>
          <w:rStyle w:val="VerbatimChar"/>
        </w:rPr>
        <w:t xml:space="preserve">#&gt;  P sessioninfo    1.1.1      2018-11-05 [?] CRAN (R 4.0.0)</w:t>
      </w:r>
      <w:r>
        <w:br/>
      </w:r>
      <w:r>
        <w:rPr>
          <w:rStyle w:val="VerbatimChar"/>
        </w:rPr>
        <w:t xml:space="preserve">#&gt;  P sf             0.9-3      2020-05-04 [?] CRAN (R 4.0.0)</w:t>
      </w:r>
      <w:r>
        <w:br/>
      </w:r>
      <w:r>
        <w:rPr>
          <w:rStyle w:val="VerbatimChar"/>
        </w:rPr>
        <w:t xml:space="preserve">#&gt;  P sp             1.4-2      2020-05-20 [?] CRAN (R 4.0.0)</w:t>
      </w:r>
      <w:r>
        <w:br/>
      </w:r>
      <w:r>
        <w:rPr>
          <w:rStyle w:val="VerbatimChar"/>
        </w:rPr>
        <w:t xml:space="preserve">#&gt;  P stars          0.4-1      2020-04-07 [?] CRAN (R 4.0.0)</w:t>
      </w:r>
      <w:r>
        <w:br/>
      </w:r>
      <w:r>
        <w:rPr>
          <w:rStyle w:val="VerbatimChar"/>
        </w:rPr>
        <w:t xml:space="preserve">#&gt;  P statmod        1.4.34     2020-02-17 [?] CRAN (R 4.0.0)</w:t>
      </w:r>
      <w:r>
        <w:br/>
      </w:r>
      <w:r>
        <w:rPr>
          <w:rStyle w:val="VerbatimChar"/>
        </w:rPr>
        <w:t xml:space="preserve">#&gt;  P storr          1.2.1      2018-10-18 [?] CRAN (R 4.0.0)</w:t>
      </w:r>
      <w:r>
        <w:br/>
      </w:r>
      <w:r>
        <w:rPr>
          <w:rStyle w:val="VerbatimChar"/>
        </w:rPr>
        <w:t xml:space="preserve">#&gt;  P stringi        1.4.6      2020-02-17 [?] CRAN (R 4.0.0)</w:t>
      </w:r>
      <w:r>
        <w:br/>
      </w:r>
      <w:r>
        <w:rPr>
          <w:rStyle w:val="VerbatimChar"/>
        </w:rPr>
        <w:t xml:space="preserve">#&gt;  P stringr        1.4.0      2019-02-10 [?] CRAN (R 4.0.0)</w:t>
      </w:r>
      <w:r>
        <w:br/>
      </w:r>
      <w:r>
        <w:rPr>
          <w:rStyle w:val="VerbatimChar"/>
        </w:rPr>
        <w:t xml:space="preserve">#&gt;  P testthat       2.3.2      2020-03-02 [?] CRAN (R 4.0.0)</w:t>
      </w:r>
      <w:r>
        <w:br/>
      </w:r>
      <w:r>
        <w:rPr>
          <w:rStyle w:val="VerbatimChar"/>
        </w:rPr>
        <w:t xml:space="preserve">#&gt;  P tibble         3.0.1      2020-04-20 [?] CRAN (R 4.0.0)</w:t>
      </w:r>
      <w:r>
        <w:br/>
      </w:r>
      <w:r>
        <w:rPr>
          <w:rStyle w:val="VerbatimChar"/>
        </w:rPr>
        <w:t xml:space="preserve">#&gt;  P tidyselect   * 1.1.0      2020-05-11 [?] CRAN (R 4.0.0)</w:t>
      </w:r>
      <w:r>
        <w:br/>
      </w:r>
      <w:r>
        <w:rPr>
          <w:rStyle w:val="VerbatimChar"/>
        </w:rPr>
        <w:t xml:space="preserve">#&gt;  P txtq           0.2.0      2019-10-15 [?] CRAN (R 4.0.0)</w:t>
      </w:r>
      <w:r>
        <w:br/>
      </w:r>
      <w:r>
        <w:rPr>
          <w:rStyle w:val="VerbatimChar"/>
        </w:rPr>
        <w:t xml:space="preserve">#&gt;  P units          0.6-6      2020-03-16 [?] CRAN (R 4.0.0)</w:t>
      </w:r>
      <w:r>
        <w:br/>
      </w:r>
      <w:r>
        <w:rPr>
          <w:rStyle w:val="VerbatimChar"/>
        </w:rPr>
        <w:t xml:space="preserve">#&gt;  P usethis        1.6.1      2020-04-29 [?] CRAN (R 4.0.0)</w:t>
      </w:r>
      <w:r>
        <w:br/>
      </w:r>
      <w:r>
        <w:rPr>
          <w:rStyle w:val="VerbatimChar"/>
        </w:rPr>
        <w:t xml:space="preserve">#&gt;  P vctrs          0.3.0      2020-05-11 [?] CRAN (R 4.0.0)</w:t>
      </w:r>
      <w:r>
        <w:br/>
      </w:r>
      <w:r>
        <w:rPr>
          <w:rStyle w:val="VerbatimChar"/>
        </w:rPr>
        <w:t xml:space="preserve">#&gt;  P viridisLite    0.3.0      2018-02-01 [?] CRAN (R 4.0.0)</w:t>
      </w:r>
      <w:r>
        <w:br/>
      </w:r>
      <w:r>
        <w:rPr>
          <w:rStyle w:val="VerbatimChar"/>
        </w:rPr>
        <w:t xml:space="preserve">#&gt;  P webshot        0.5.2      2019-11-22 [?] CRAN (R 4.0.0)</w:t>
      </w:r>
      <w:r>
        <w:br/>
      </w:r>
      <w:r>
        <w:rPr>
          <w:rStyle w:val="VerbatimChar"/>
        </w:rPr>
        <w:t xml:space="preserve">#&gt;  P withr          2.2.0      2020-04-20 [?] CRAN (R 4.0.0)</w:t>
      </w:r>
      <w:r>
        <w:br/>
      </w:r>
      <w:r>
        <w:rPr>
          <w:rStyle w:val="VerbatimChar"/>
        </w:rPr>
        <w:t xml:space="preserve">#&gt;  P xfun           0.14       2020-05-20 [?] CRAN (R 4.0.0)</w:t>
      </w:r>
      <w:r>
        <w:br/>
      </w:r>
      <w:r>
        <w:rPr>
          <w:rStyle w:val="VerbatimChar"/>
        </w:rPr>
        <w:t xml:space="preserve">#&gt;  P xml2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/home/hurley/_work/p_024_GFZ_berlin_trees/berlin.trees/renv/library/R-4.0/x86_64-pc-linux-gnu</w:t>
      </w:r>
      <w:r>
        <w:br/>
      </w:r>
      <w:r>
        <w:rPr>
          <w:rStyle w:val="VerbatimChar"/>
        </w:rPr>
        <w:t xml:space="preserve">#&gt; [2] /tmp/Rtmp5zFS5Z/renv-system-library</w:t>
      </w:r>
      <w:r>
        <w:br/>
      </w:r>
      <w:r>
        <w:rPr>
          <w:rStyle w:val="VerbatimChar"/>
        </w:rPr>
        <w:t xml:space="preserve">#&gt; [3] /tmp/RtmpkzFj7E/renv-system-library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/home/hurley/_work/p_024_GFZ_berlin_trees/berlin.trees</w:t>
      </w:r>
      <w:r>
        <w:br/>
      </w:r>
      <w:r>
        <w:rPr>
          <w:rStyle w:val="VerbatimChar"/>
        </w:rPr>
        <w:t xml:space="preserve">#&gt; Remote:   master @ origin (https://github.com/the-Hull/berlin.trees)</w:t>
      </w:r>
      <w:r>
        <w:br/>
      </w:r>
      <w:r>
        <w:rPr>
          <w:rStyle w:val="VerbatimChar"/>
        </w:rPr>
        <w:t xml:space="preserve">#&gt; Head:     [4d09587] 2020-06-04: update repo</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71" Target="https://doi.org/10.1002/qj.49710845502" TargetMode="External" /><Relationship Type="http://schemas.openxmlformats.org/officeDocument/2006/relationships/hyperlink" Id="rId65" Target="https://doi.org/10.1007/BF00866252" TargetMode="External" /><Relationship Type="http://schemas.openxmlformats.org/officeDocument/2006/relationships/hyperlink" Id="rId48" Target="https://doi.org/10.1007/s00468-014-1019-9" TargetMode="External" /><Relationship Type="http://schemas.openxmlformats.org/officeDocument/2006/relationships/hyperlink" Id="rId43" Target="https://doi.org/10.1007/s00484-017-1481-3" TargetMode="External" /><Relationship Type="http://schemas.openxmlformats.org/officeDocument/2006/relationships/hyperlink" Id="rId58"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54" Target="https://doi.org/10.1016/j.buildenv.2005.07.001" TargetMode="External" /><Relationship Type="http://schemas.openxmlformats.org/officeDocument/2006/relationships/hyperlink" Id="rId56" Target="https://doi.org/10.1016/j.envsoft.2018.11.015" TargetMode="External" /><Relationship Type="http://schemas.openxmlformats.org/officeDocument/2006/relationships/hyperlink" Id="rId41" Target="https://doi.org/10.1016/j.jag.2018.09.015" TargetMode="External" /><Relationship Type="http://schemas.openxmlformats.org/officeDocument/2006/relationships/hyperlink" Id="rId87" Target="https://doi.org/10.1016/j.landurbplan.2007.02.001" TargetMode="External" /><Relationship Type="http://schemas.openxmlformats.org/officeDocument/2006/relationships/hyperlink" Id="rId69" Target="https://doi.org/10.1016/j.landurbplan.2014.10.018" TargetMode="External" /><Relationship Type="http://schemas.openxmlformats.org/officeDocument/2006/relationships/hyperlink" Id="rId50" Target="https://doi.org/10.1016/j.landurbplan.2015.06.005" TargetMode="External" /><Relationship Type="http://schemas.openxmlformats.org/officeDocument/2006/relationships/hyperlink" Id="rId67" Target="https://doi.org/10.1016/j.landurbplan.2018.11.004" TargetMode="External" /><Relationship Type="http://schemas.openxmlformats.org/officeDocument/2006/relationships/hyperlink" Id="rId46" Target="https://doi.org/10.1016/j.uclim.2014.02.004" TargetMode="External" /><Relationship Type="http://schemas.openxmlformats.org/officeDocument/2006/relationships/hyperlink" Id="rId85" Target="https://doi.org/10.1016/j.ufug.2009.08.002" TargetMode="External" /><Relationship Type="http://schemas.openxmlformats.org/officeDocument/2006/relationships/hyperlink" Id="rId81" Target="https://doi.org/10.1023/A:1024046004731" TargetMode="External" /><Relationship Type="http://schemas.openxmlformats.org/officeDocument/2006/relationships/hyperlink" Id="rId79" Target="https://doi.org/10.1023/B:UECO.0000020170.58404.e9" TargetMode="External" /><Relationship Type="http://schemas.openxmlformats.org/officeDocument/2006/relationships/hyperlink" Id="rId77" Target="https://doi.org/10.1038/s41598-017-14831-w" TargetMode="External" /><Relationship Type="http://schemas.openxmlformats.org/officeDocument/2006/relationships/hyperlink" Id="rId90" Target="https://doi.org/10.1073/pnas.1602312113" TargetMode="External" /><Relationship Type="http://schemas.openxmlformats.org/officeDocument/2006/relationships/hyperlink" Id="rId73" Target="https://doi.org/10.1078/1618-8667-00009" TargetMode="External" /><Relationship Type="http://schemas.openxmlformats.org/officeDocument/2006/relationships/hyperlink" Id="rId60" Target="https://doi.org/10.1111/gcb.14317" TargetMode="External" /><Relationship Type="http://schemas.openxmlformats.org/officeDocument/2006/relationships/hyperlink" Id="rId36" Target="https://doi.org/10.1198/jasa.2009.ap07058" TargetMode="External" /><Relationship Type="http://schemas.openxmlformats.org/officeDocument/2006/relationships/hyperlink" Id="rId38" Target="https://doi.org/10.18637/jss.v067.i01" TargetMode="External" /><Relationship Type="http://schemas.openxmlformats.org/officeDocument/2006/relationships/hyperlink" Id="rId52" Target="https://doi.org/10.3354/cr006045" TargetMode="External" /><Relationship Type="http://schemas.openxmlformats.org/officeDocument/2006/relationships/hyperlink" Id="rId75" Target="https://doi.org/10.7717/peerj.6876" TargetMode="External" /><Relationship Type="http://schemas.openxmlformats.org/officeDocument/2006/relationships/hyperlink" Id="rId63" Target="https://doi.org/http://dx.doi.org/10.18452/18162" TargetMode="External" /><Relationship Type="http://schemas.openxmlformats.org/officeDocument/2006/relationships/hyperlink" Id="rId28" Target="https://yceo.users.earthengine.app/view/uhimap"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71" Target="https://doi.org/10.1002/qj.49710845502" TargetMode="External" /><Relationship Type="http://schemas.openxmlformats.org/officeDocument/2006/relationships/hyperlink" Id="rId65" Target="https://doi.org/10.1007/BF00866252" TargetMode="External" /><Relationship Type="http://schemas.openxmlformats.org/officeDocument/2006/relationships/hyperlink" Id="rId48" Target="https://doi.org/10.1007/s00468-014-1019-9" TargetMode="External" /><Relationship Type="http://schemas.openxmlformats.org/officeDocument/2006/relationships/hyperlink" Id="rId43" Target="https://doi.org/10.1007/s00484-017-1481-3" TargetMode="External" /><Relationship Type="http://schemas.openxmlformats.org/officeDocument/2006/relationships/hyperlink" Id="rId58"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54" Target="https://doi.org/10.1016/j.buildenv.2005.07.001" TargetMode="External" /><Relationship Type="http://schemas.openxmlformats.org/officeDocument/2006/relationships/hyperlink" Id="rId56" Target="https://doi.org/10.1016/j.envsoft.2018.11.015" TargetMode="External" /><Relationship Type="http://schemas.openxmlformats.org/officeDocument/2006/relationships/hyperlink" Id="rId41" Target="https://doi.org/10.1016/j.jag.2018.09.015" TargetMode="External" /><Relationship Type="http://schemas.openxmlformats.org/officeDocument/2006/relationships/hyperlink" Id="rId87" Target="https://doi.org/10.1016/j.landurbplan.2007.02.001" TargetMode="External" /><Relationship Type="http://schemas.openxmlformats.org/officeDocument/2006/relationships/hyperlink" Id="rId69" Target="https://doi.org/10.1016/j.landurbplan.2014.10.018" TargetMode="External" /><Relationship Type="http://schemas.openxmlformats.org/officeDocument/2006/relationships/hyperlink" Id="rId50" Target="https://doi.org/10.1016/j.landurbplan.2015.06.005" TargetMode="External" /><Relationship Type="http://schemas.openxmlformats.org/officeDocument/2006/relationships/hyperlink" Id="rId67" Target="https://doi.org/10.1016/j.landurbplan.2018.11.004" TargetMode="External" /><Relationship Type="http://schemas.openxmlformats.org/officeDocument/2006/relationships/hyperlink" Id="rId46" Target="https://doi.org/10.1016/j.uclim.2014.02.004" TargetMode="External" /><Relationship Type="http://schemas.openxmlformats.org/officeDocument/2006/relationships/hyperlink" Id="rId85" Target="https://doi.org/10.1016/j.ufug.2009.08.002" TargetMode="External" /><Relationship Type="http://schemas.openxmlformats.org/officeDocument/2006/relationships/hyperlink" Id="rId81" Target="https://doi.org/10.1023/A:1024046004731" TargetMode="External" /><Relationship Type="http://schemas.openxmlformats.org/officeDocument/2006/relationships/hyperlink" Id="rId79" Target="https://doi.org/10.1023/B:UECO.0000020170.58404.e9" TargetMode="External" /><Relationship Type="http://schemas.openxmlformats.org/officeDocument/2006/relationships/hyperlink" Id="rId77" Target="https://doi.org/10.1038/s41598-017-14831-w" TargetMode="External" /><Relationship Type="http://schemas.openxmlformats.org/officeDocument/2006/relationships/hyperlink" Id="rId90" Target="https://doi.org/10.1073/pnas.1602312113" TargetMode="External" /><Relationship Type="http://schemas.openxmlformats.org/officeDocument/2006/relationships/hyperlink" Id="rId73" Target="https://doi.org/10.1078/1618-8667-00009" TargetMode="External" /><Relationship Type="http://schemas.openxmlformats.org/officeDocument/2006/relationships/hyperlink" Id="rId60" Target="https://doi.org/10.1111/gcb.14317" TargetMode="External" /><Relationship Type="http://schemas.openxmlformats.org/officeDocument/2006/relationships/hyperlink" Id="rId36" Target="https://doi.org/10.1198/jasa.2009.ap07058" TargetMode="External" /><Relationship Type="http://schemas.openxmlformats.org/officeDocument/2006/relationships/hyperlink" Id="rId38" Target="https://doi.org/10.18637/jss.v067.i01" TargetMode="External" /><Relationship Type="http://schemas.openxmlformats.org/officeDocument/2006/relationships/hyperlink" Id="rId52" Target="https://doi.org/10.3354/cr006045" TargetMode="External" /><Relationship Type="http://schemas.openxmlformats.org/officeDocument/2006/relationships/hyperlink" Id="rId75" Target="https://doi.org/10.7717/peerj.6876" TargetMode="External" /><Relationship Type="http://schemas.openxmlformats.org/officeDocument/2006/relationships/hyperlink" Id="rId63" Target="https://doi.org/http://dx.doi.org/10.18452/18162" TargetMode="External" /><Relationship Type="http://schemas.openxmlformats.org/officeDocument/2006/relationships/hyperlink" Id="rId28" Target="https://yceo.users.earthengine.app/view/uhimap"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 ^a Geoforschungszentrum Potsdam, Section 4.3, Germany; * Corresponding author: hurley@gfz-potsdam.de</dc:creator>
  <cp:keywords/>
  <dcterms:created xsi:type="dcterms:W3CDTF">2020-06-04T15:33:28Z</dcterms:created>
  <dcterms:modified xsi:type="dcterms:W3CDTF">2020-06-04T15:33:28Z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outlines the rationale for an analysis of tree growth (potential) and its relationship with the Urban Heat Island (UHI) effect in Berlin using an extensive, publicly available data set. It introduces preliminary results and provides an outlook for up-coming and potential work.</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04 June, 2020</vt:lpwstr>
  </property>
  <property fmtid="{D5CDD505-2E9C-101B-9397-08002B2CF9AE}" pid="6" name="header-includes">
    <vt:lpwstr/>
  </property>
  <property fmtid="{D5CDD505-2E9C-101B-9397-08002B2CF9AE}" pid="7" name="highlights">
    <vt:lpwstr>We will see.</vt:lpwstr>
  </property>
  <property fmtid="{D5CDD505-2E9C-101B-9397-08002B2CF9AE}" pid="8" name="output">
    <vt:lpwstr/>
  </property>
</Properties>
</file>