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Miguel Real 55677</w:t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Note: For brevity, it’s to be assumed all packages/files mentioned henceforth are located in “src/main/java/org/jabref/”.</w:t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Template Method Pattern (Behavioral)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Package of origin: “logic/importer/fetcher/transformers/”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Brief explanation of the found pattern: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The abstract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AbstractQueryTransformer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 includes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transform()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with several implementations (each of which can be seen as independent instances of this pattern). Each of these utilize several abstract methods (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steps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 declared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AbstractQueryTransformer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class. It then falls upon the concrete classes in this package to implement each step of the algorithm in their own way in order to produce a functional algorithm when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transform()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is called. 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This is a textbook example of the Template Method pattern, which is based on a method (the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template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 in an abstract class that defines an algorithm by calling other methods (the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steps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). These methods (usually abstract, though not always) will then be implemented by subclasses in order to tailor the algorithm to their needs.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One of the implementations of the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transform()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method. Several of the methods called 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handleAuthor()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handleTitle()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handleJournal()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, etc.) are defined as abstract in this class and are then implemented in subclasses.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142875</wp:posOffset>
            </wp:positionV>
            <wp:extent cx="3976055" cy="3857231"/>
            <wp:effectExtent b="0" l="0" r="0" t="0"/>
            <wp:wrapTopAndBottom distB="57150" distT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055" cy="3857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Here we can see a concrete implementation of a step,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handleAuthor()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, from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ScholarQueryTransformer.java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352425</wp:posOffset>
            </wp:positionV>
            <wp:extent cx="5731200" cy="304800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Builder Pattern (Creational)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Package of origin: “model/entry/”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Brief explanation of the found pattern: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We can observe a Builder pattern in the interactions between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BibEntryType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(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Product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BibEntryTypeBuilder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(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BibEntryTypesManager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(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Director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 classes.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of the latter class a builder object is created and given constraints on the product it will build. A product is then returned by calling the builder class’s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method, which returns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BibEntryType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with the characteristics set down by the director class previously.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Although this behaviour is consistent with the Builder pattern, it is not a textbook implementation of it, as that would involve a slightly different approach, with a global Builder variable in the Director, a build/make method in the Director which given the desired product characteristics would call the necessary component-building methods of the builder class (using the aforementioned builder variable), and a builder class whose only purpose in the pattern is to hold the operations responsible for the creation of a product’s component parts.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123825</wp:posOffset>
            </wp:positionV>
            <wp:extent cx="4529825" cy="175289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825" cy="175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119986</wp:posOffset>
            </wp:positionV>
            <wp:extent cx="5655636" cy="881896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36" cy="881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BibEntryTypesManager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class, abridged to only include code relevant to the pattern in discussion (lines 46-50). A builder class is created and given directions on the product it will build.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Excerpt from the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BibEntryTypeBuilder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class, the methods seen are a sample of the various existing methods to constrain the characteristics of the product that will be created.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38289</wp:posOffset>
            </wp:positionV>
            <wp:extent cx="5731200" cy="96520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32603</wp:posOffset>
            </wp:positionV>
            <wp:extent cx="5548313" cy="1843293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843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build()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method from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BibEntryTypeBuilder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. This method (usually part of the Director class) will create a Product based on the characteristics dictated by the Director.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Prototype Pattern (Creational)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File of origin: “logic/integrity/IntegrityMessage.java”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Brief explanation of the found pattern: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IntegrityMessage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is a small class focused around 3 private variables that store its characteristics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entry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). The constructor is used as a setter, receiving 3 parameters that correspond to the 3 variables. It includes some relatively unremarkable methods, like getter methods for the 3 variables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equals()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hashCode()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methods which do what one would expect. More interestingly though, it also includes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method, which is the one relevant for this design pattern, its purpose is to create another instance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IntegrityMessage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 with the exact same fields as the current one (a clone).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This is a textbook implementation of the Prototype pattern, which is defined by an object having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clone()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whose function is to create another instance of the same class with identical field values, essentially a clone (as suggested by the method’s namesake).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The 3 main variables of the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IntegrityMessage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class along with its constructor (which works as a setter for the aforementioned variables).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200025</wp:posOffset>
            </wp:positionV>
            <wp:extent cx="5519738" cy="1769617"/>
            <wp:effectExtent b="0" l="0" r="0" t="0"/>
            <wp:wrapSquare wrapText="bothSides" distB="57150" distT="57150" distL="57150" distR="571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769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85725</wp:posOffset>
            </wp:positionV>
            <wp:extent cx="4748213" cy="764623"/>
            <wp:effectExtent b="0" l="0" r="0" t="0"/>
            <wp:wrapSquare wrapText="bothSides" distB="57150" distT="57150" distL="57150" distR="571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764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Light" w:cs="Roboto Light" w:eastAsia="Roboto Light" w:hAnsi="Roboto Light"/>
          <w:i w:val="1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clone() method of the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IntegrityMessage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class, its purpose is to create another instance of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IntegrityMessage</w:t>
      </w:r>
      <w:r w:rsidDel="00000000" w:rsidR="00000000" w:rsidRPr="00000000">
        <w:rPr>
          <w:rFonts w:ascii="Roboto Light" w:cs="Roboto Light" w:eastAsia="Roboto Light" w:hAnsi="Roboto Light"/>
          <w:i w:val="1"/>
          <w:sz w:val="20"/>
          <w:szCs w:val="20"/>
          <w:rtl w:val="0"/>
        </w:rPr>
        <w:t xml:space="preserve"> with the exact same fields as the current one (a clone).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