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Pr="003318B3" w:rsidRDefault="00C2692F">
      <w:pPr>
        <w:pStyle w:val="Text"/>
        <w:ind w:firstLine="0"/>
        <w:rPr>
          <w:sz w:val="2"/>
          <w:szCs w:val="18"/>
          <w:lang w:val="en-GB"/>
        </w:rPr>
      </w:pPr>
      <w:bookmarkStart w:id="0" w:name="_GoBack"/>
      <w:bookmarkEnd w:id="0"/>
    </w:p>
    <w:p w:rsidR="00C2692F" w:rsidRPr="003318B3" w:rsidRDefault="003318B3" w:rsidP="00C2692F">
      <w:pPr>
        <w:pStyle w:val="Title"/>
        <w:framePr w:wrap="notBeside"/>
        <w:rPr>
          <w:lang w:val="en-GB"/>
        </w:rPr>
      </w:pPr>
      <w:r w:rsidRPr="003318B3">
        <w:rPr>
          <w:lang w:val="en-GB"/>
        </w:rPr>
        <w:t>Martin Opatovsky (CID 00862881)</w:t>
      </w:r>
    </w:p>
    <w:p w:rsidR="00C2692F" w:rsidRDefault="003318B3" w:rsidP="00C2692F">
      <w:pPr>
        <w:pStyle w:val="Heading1"/>
        <w:spacing w:before="120" w:after="120"/>
        <w:rPr>
          <w:lang w:val="en-GB"/>
        </w:rPr>
      </w:pPr>
      <w:r w:rsidRPr="003318B3">
        <w:rPr>
          <w:lang w:val="en-GB"/>
        </w:rPr>
        <w:t>Part A</w:t>
      </w:r>
    </w:p>
    <w:p w:rsidR="002A2B59" w:rsidRPr="002A2B59" w:rsidRDefault="002A2B59" w:rsidP="002A2B59">
      <w:pPr>
        <w:pStyle w:val="Heading2"/>
        <w:rPr>
          <w:lang w:val="en-GB"/>
        </w:rPr>
      </w:pPr>
      <w:r>
        <w:rPr>
          <w:lang w:val="en-GB"/>
        </w:rPr>
        <w:t>Introduction problems</w:t>
      </w:r>
    </w:p>
    <w:p w:rsidR="002A2B59" w:rsidRPr="002A2B59" w:rsidRDefault="002A2B59" w:rsidP="002A2B59">
      <w:pPr>
        <w:pStyle w:val="BodyText"/>
        <w:rPr>
          <w:lang w:val="en-GB"/>
        </w:rPr>
      </w:pPr>
      <w:r w:rsidRPr="002A2B59">
        <w:rPr>
          <w:lang w:val="en-GB"/>
        </w:rPr>
        <w:t>Firstly, we analyse and define the control problem to be solved. The task is to implement an MP controller for a gantry crane, capable of tracking a given square in XY (horizontal) plane. The square is to be tracked by the mass suspended from the crane and not necessarily the crane itself.</w:t>
      </w:r>
    </w:p>
    <w:p w:rsidR="002A2B59" w:rsidRPr="002A2B59" w:rsidRDefault="002A2B59" w:rsidP="002A2B59">
      <w:pPr>
        <w:pStyle w:val="BodyText"/>
        <w:rPr>
          <w:lang w:val="en-GB"/>
        </w:rPr>
      </w:pPr>
      <w:r w:rsidRPr="002A2B59">
        <w:rPr>
          <w:lang w:val="en-GB"/>
        </w:rPr>
        <w:t>This problem can be deconstructed into 4 separate problems of moving the mass from a given point A to a given point B. The four movements are then executed in sequence, such that the mass tracks the required square in the end. This definition of the problem allows for the use of controller implemented for previous assignments with only minor changes.</w:t>
      </w:r>
    </w:p>
    <w:p w:rsidR="002A2B59" w:rsidRDefault="002A2B59" w:rsidP="002A2B59">
      <w:pPr>
        <w:pStyle w:val="BodyText"/>
        <w:rPr>
          <w:lang w:val="en-GB"/>
        </w:rPr>
      </w:pPr>
      <w:r>
        <w:rPr>
          <w:lang w:val="en-GB"/>
        </w:rPr>
        <w:t>A</w:t>
      </w:r>
      <w:r w:rsidRPr="002A2B59">
        <w:rPr>
          <w:lang w:val="en-GB"/>
        </w:rPr>
        <w:t xml:space="preserve"> choice </w:t>
      </w:r>
      <w:r w:rsidR="00D32D6A">
        <w:rPr>
          <w:lang w:val="en-GB"/>
        </w:rPr>
        <w:t>was</w:t>
      </w:r>
      <w:r w:rsidRPr="002A2B59">
        <w:rPr>
          <w:lang w:val="en-GB"/>
        </w:rPr>
        <w:t xml:space="preserve"> made </w:t>
      </w:r>
      <w:r w:rsidR="00D32D6A">
        <w:rPr>
          <w:lang w:val="en-GB"/>
        </w:rPr>
        <w:t xml:space="preserve">to use </w:t>
      </w:r>
      <w:r w:rsidRPr="002A2B59">
        <w:rPr>
          <w:lang w:val="en-GB"/>
        </w:rPr>
        <w:t xml:space="preserve">controller with only hard constraints </w:t>
      </w:r>
      <w:r w:rsidR="00D32D6A">
        <w:rPr>
          <w:lang w:val="en-GB"/>
        </w:rPr>
        <w:t>instead of</w:t>
      </w:r>
      <w:r w:rsidRPr="002A2B59">
        <w:rPr>
          <w:lang w:val="en-GB"/>
        </w:rPr>
        <w:t xml:space="preserve"> controller with soft constraints implemented.</w:t>
      </w:r>
      <w:r w:rsidR="00D32D6A">
        <w:rPr>
          <w:lang w:val="en-GB"/>
        </w:rPr>
        <w:t xml:space="preserve"> </w:t>
      </w:r>
      <w:r w:rsidRPr="002A2B59">
        <w:rPr>
          <w:lang w:val="en-GB"/>
        </w:rPr>
        <w:t xml:space="preserve">The controller with soft constraints </w:t>
      </w:r>
      <w:r w:rsidR="00D32D6A">
        <w:rPr>
          <w:lang w:val="en-GB"/>
        </w:rPr>
        <w:t>takes</w:t>
      </w:r>
      <w:r w:rsidRPr="002A2B59">
        <w:rPr>
          <w:lang w:val="en-GB"/>
        </w:rPr>
        <w:t xml:space="preserve"> significantly longer to compute, since the slack variables increase the size of the system to be optimised</w:t>
      </w:r>
      <w:r>
        <w:rPr>
          <w:lang w:val="en-GB"/>
        </w:rPr>
        <w:t xml:space="preserve"> </w:t>
      </w:r>
      <w:r>
        <w:rPr>
          <w:lang w:val="en-GB"/>
        </w:rPr>
        <w:fldChar w:fldCharType="begin" w:fldLock="1"/>
      </w:r>
      <w:r>
        <w:rPr>
          <w:lang w:val="en-GB"/>
        </w:rPr>
        <w:instrText>ADDIN CSL_CITATION { "citationItems" : [ { "id" : "ITEM-1", "itemData" : { "abstract" : "\u2014 The ability of easily and naturally handling con-straints is certainly one of the winning features of Model Predictive Control (MPC). The use of hard output constraints, however, is often not physically necessary, and furthermore it can lead to unfeasible optimization problems. One way to avoid this issue is the use of soft-constraints on the outputs (and more in generals on the states). In the soft-constrained formulation, the constraint may be violated, but incurring in a penalty cost: the optimization procedure thus avoid the violation of these constraints whenever possible. Soft-constraints are traditionally handled by introducing a decision variable for each slack variable associated with the soft-constraints. This increases the size of the dynamic system variables, and therefore the size of the optimization problem, and it increases remarkably the solution time. In this paper, we want to show that IP and ADMM methods for box-constrained MPC can be modified to handle the case of soft-constraints on the states, and at a similar cost-per-iteration. This is obtained by exploit the special structure of the KKT system of the soft-constrained MPC problem, avoiding the introduction of additional control variables. As a consequence, each iteration of the IP or ADMM methods requires the solution of an unconstrained MPC sub-problem with the same size as in the case of box-constrained MPC.", "author" : [ { "dropping-particle" : "", "family" : "Frison", "given" : "Gianluca", "non-dropping-particle" : "", "parse-names" : false, "suffix" : "" }, { "dropping-particle" : "", "family" : "J\u00f8rgensen", "given" : "John Bagterp", "non-dropping-particle" : "", "parse-names" : false, "suffix" : "" } ], "id" : "ITEM-1", "issued" : { "date-parts" : [ [ "0" ] ] }, "title" : "Efficient solvers for soft-constrained MPC", "type" : "article-journal" }, "uris" : [ "http://www.mendeley.com/documents/?uuid=c05955e9-48ea-3952-af7f-b62055c9cb96" ] } ], "mendeley" : { "formattedCitation" : "[1]", "plainTextFormattedCitation" : "[1]", "previouslyFormattedCitation" : "(Frison &amp; J\u00f8rgensen, n.d.)" }, "properties" : { "noteIndex" : 0 }, "schema" : "https://github.com/citation-style-language/schema/raw/master/csl-citation.json" }</w:instrText>
      </w:r>
      <w:r>
        <w:rPr>
          <w:lang w:val="en-GB"/>
        </w:rPr>
        <w:fldChar w:fldCharType="separate"/>
      </w:r>
      <w:r w:rsidRPr="002A2B59">
        <w:rPr>
          <w:noProof/>
          <w:lang w:val="en-GB"/>
        </w:rPr>
        <w:t>[1]</w:t>
      </w:r>
      <w:r>
        <w:rPr>
          <w:lang w:val="en-GB"/>
        </w:rPr>
        <w:fldChar w:fldCharType="end"/>
      </w:r>
      <w:r w:rsidRPr="002A2B59">
        <w:rPr>
          <w:lang w:val="en-GB"/>
        </w:rPr>
        <w:t xml:space="preserve">. </w:t>
      </w:r>
      <w:r w:rsidR="00D32D6A">
        <w:rPr>
          <w:lang w:val="en-GB"/>
        </w:rPr>
        <w:t xml:space="preserve">In testing, </w:t>
      </w:r>
      <w:r w:rsidRPr="002A2B59">
        <w:rPr>
          <w:lang w:val="en-GB"/>
        </w:rPr>
        <w:t xml:space="preserve">the controller </w:t>
      </w:r>
      <w:r w:rsidR="00D32D6A">
        <w:rPr>
          <w:lang w:val="en-GB"/>
        </w:rPr>
        <w:t>did not</w:t>
      </w:r>
      <w:r w:rsidRPr="002A2B59">
        <w:rPr>
          <w:lang w:val="en-GB"/>
        </w:rPr>
        <w:t xml:space="preserve"> </w:t>
      </w:r>
      <w:r w:rsidR="00D32D6A">
        <w:rPr>
          <w:lang w:val="en-GB"/>
        </w:rPr>
        <w:t>compute</w:t>
      </w:r>
      <w:r w:rsidRPr="002A2B59">
        <w:rPr>
          <w:lang w:val="en-GB"/>
        </w:rPr>
        <w:t xml:space="preserve"> the solution in time (solutions took more than 1 second with sampling time of 1/30 seconds). Moreover, the settling times of controlled variables of hard constrained controller were shorter.</w:t>
      </w:r>
    </w:p>
    <w:p w:rsidR="002A2B59" w:rsidRPr="002A2B59" w:rsidRDefault="002A2B59" w:rsidP="002A2B59">
      <w:pPr>
        <w:pStyle w:val="Heading2"/>
        <w:rPr>
          <w:lang w:val="en-GB"/>
        </w:rPr>
      </w:pPr>
      <w:r>
        <w:rPr>
          <w:lang w:val="en-GB"/>
        </w:rPr>
        <w:t>Algorithm</w:t>
      </w:r>
    </w:p>
    <w:p w:rsidR="002A2B59" w:rsidRPr="002A2B59" w:rsidRDefault="002A2B59" w:rsidP="002A2B59">
      <w:pPr>
        <w:pStyle w:val="BodyText"/>
        <w:rPr>
          <w:lang w:val="en-GB"/>
        </w:rPr>
      </w:pPr>
      <w:r w:rsidRPr="002A2B59">
        <w:rPr>
          <w:lang w:val="en-GB"/>
        </w:rPr>
        <w:t>The first step is to define the square to be tracked. Since the problem is posed as moving the crane from a given point A to a given point B, the square is defined by 4 points in its corners. These points should be far apart, to avoid problems connected with the stickiness of the crane (larger force required to begin moving it). If the controller exerts large force to overcome the stickiness, it would risk overshooting the corner of a small square. The square is oriented so that its sides are parallel with the X and Y axes. This simplifies the definition of the constraints (as explained later). Moreover, this way the movement along each side is controlled by on</w:t>
      </w:r>
      <w:r>
        <w:rPr>
          <w:lang w:val="en-GB"/>
        </w:rPr>
        <w:t xml:space="preserve">e actuator only </w:t>
      </w:r>
      <w:r w:rsidRPr="002A2B59">
        <w:rPr>
          <w:lang w:val="en-GB"/>
        </w:rPr>
        <w:t>any oscillations are controlled more easily.</w:t>
      </w:r>
    </w:p>
    <w:p w:rsidR="002A2B59" w:rsidRPr="002A2B59" w:rsidRDefault="002A2B59" w:rsidP="002A2B59">
      <w:pPr>
        <w:pStyle w:val="BodyText"/>
        <w:rPr>
          <w:lang w:val="en-GB"/>
        </w:rPr>
      </w:pPr>
      <w:r w:rsidRPr="002A2B59">
        <w:rPr>
          <w:lang w:val="en-GB"/>
        </w:rPr>
        <w:t>In the laboratory sessions, it was also noted that the crane experiences larger stickiness in the X-axis than in the Y-axis. This is because in the X-axis larger mass (crane car and rail it moves on) has to be moved than in the Y-axis (crane car only). To ensure a square is tracked instead or a rectangle, a stickiness correction constant is introduced to the code. This constant is added to the higher X coordinate of the corners and subtracted from the lower X coordinate. By doing this, the controller is set to track a rectangle, but due to stickiness it will track a square. Value of this constant is best set experimentally in real hardware. In the simulations, the increased stickiness is not well modelled, and hence the value of the constant is set to zero.</w:t>
      </w:r>
    </w:p>
    <w:p w:rsidR="002A2B59" w:rsidRPr="002A2B59" w:rsidRDefault="002A2B59" w:rsidP="002A2B59">
      <w:pPr>
        <w:pStyle w:val="BodyText"/>
        <w:rPr>
          <w:lang w:val="en-GB"/>
        </w:rPr>
      </w:pPr>
      <w:r w:rsidRPr="002A2B59">
        <w:rPr>
          <w:lang w:val="en-GB"/>
        </w:rPr>
        <w:t xml:space="preserve">After the target states (i.e. the corners of the square) are defined, the constraints are defined too. The constraints are imposed on the same states as in the previous assignments – on X and Y position and on X and Y angle. The constraints set on angle are constant. The position constraints are different for the four different target states. For each state, the position constraint is a thin rectangle with shorter sides lying on the previous and current target state and longer sides parallel to the side of the square. The constraint is defined by variable </w:t>
      </w:r>
      <w:r w:rsidRPr="007531D3">
        <w:rPr>
          <w:i/>
          <w:lang w:val="en-GB"/>
        </w:rPr>
        <w:t>margin</w:t>
      </w:r>
      <w:r w:rsidRPr="002A2B59">
        <w:rPr>
          <w:lang w:val="en-GB"/>
        </w:rPr>
        <w:t xml:space="preserve">, which </w:t>
      </w:r>
      <w:r w:rsidR="00CC33F5">
        <w:rPr>
          <w:lang w:val="en-GB"/>
        </w:rPr>
        <w:t>is</w:t>
      </w:r>
      <w:r w:rsidRPr="002A2B59">
        <w:rPr>
          <w:lang w:val="en-GB"/>
        </w:rPr>
        <w:t xml:space="preserve"> the distance of the longer side from side of the square.</w:t>
      </w:r>
    </w:p>
    <w:p w:rsidR="002A2B59" w:rsidRDefault="002A2B59" w:rsidP="002A2B59">
      <w:pPr>
        <w:pStyle w:val="BodyText"/>
        <w:rPr>
          <w:lang w:val="en-GB"/>
        </w:rPr>
      </w:pPr>
      <w:r w:rsidRPr="002A2B59">
        <w:rPr>
          <w:lang w:val="en-GB"/>
        </w:rPr>
        <w:t xml:space="preserve">Using the notation from lectures and previous assignments, the only matrices that are affected by the existence of 4 different constraints are the </w:t>
      </w:r>
      <w:r w:rsidRPr="002A2B59">
        <w:rPr>
          <w:i/>
          <w:lang w:val="en-GB"/>
        </w:rPr>
        <w:t>b</w:t>
      </w:r>
      <w:r w:rsidRPr="002A2B59">
        <w:rPr>
          <w:lang w:val="en-GB"/>
        </w:rPr>
        <w:t xml:space="preserve"> constraint matrices. Therefore, there must be 4 sets of calculations performed in the initialisation stage of the program. The constraint matrices </w:t>
      </w:r>
      <w:r w:rsidRPr="002A2B59">
        <w:rPr>
          <w:i/>
          <w:lang w:val="en-GB"/>
        </w:rPr>
        <w:t>bb</w:t>
      </w:r>
      <w:r w:rsidRPr="002A2B59">
        <w:rPr>
          <w:lang w:val="en-GB"/>
        </w:rPr>
        <w:t xml:space="preserve"> and target states are then cycled through based on the time of simulation/run of the hardware. Time of the simulation is divided by distance between two adjacent states (i.e. length of the side of the square) to ensure longer time is allowed for larger squares tracked. This result is then multiplied by a constant</w:t>
      </w:r>
      <w:r w:rsidR="007531D3">
        <w:rPr>
          <w:lang w:val="en-GB"/>
        </w:rPr>
        <w:t xml:space="preserve"> </w:t>
      </w:r>
      <w:r w:rsidR="007531D3" w:rsidRPr="007531D3">
        <w:rPr>
          <w:i/>
          <w:lang w:val="en-GB"/>
        </w:rPr>
        <w:t>warp</w:t>
      </w:r>
      <w:r w:rsidRPr="002A2B59">
        <w:rPr>
          <w:lang w:val="en-GB"/>
        </w:rPr>
        <w:t>, by which the action of the controller can be sped up or slowed down. Remainder after division by 4 is then calculated from this time control signal to pick the appropriate state and constraint matrix from the set of 4.</w:t>
      </w:r>
    </w:p>
    <w:p w:rsidR="00A4621F" w:rsidRPr="002A2B59" w:rsidRDefault="00A4621F" w:rsidP="00A4621F">
      <w:pPr>
        <w:pStyle w:val="Heading2"/>
        <w:rPr>
          <w:lang w:val="en-GB"/>
        </w:rPr>
      </w:pPr>
      <w:r>
        <w:rPr>
          <w:lang w:val="en-GB"/>
        </w:rPr>
        <w:t>Results and discussion</w:t>
      </w:r>
    </w:p>
    <w:p w:rsidR="00D32D6A" w:rsidRDefault="002A2B59" w:rsidP="00D32D6A">
      <w:pPr>
        <w:pStyle w:val="BodyText"/>
        <w:rPr>
          <w:lang w:val="en-GB"/>
        </w:rPr>
      </w:pPr>
      <w:r w:rsidRPr="002A2B59">
        <w:rPr>
          <w:lang w:val="en-GB"/>
        </w:rPr>
        <w:t xml:space="preserve">To evaluate the controller, a metric of “squarness” was developed. The trace of the pendulum </w:t>
      </w:r>
      <w:r>
        <w:rPr>
          <w:lang w:val="en-GB"/>
        </w:rPr>
        <w:t>was</w:t>
      </w:r>
      <w:r w:rsidRPr="002A2B59">
        <w:rPr>
          <w:lang w:val="en-GB"/>
        </w:rPr>
        <w:t xml:space="preserve"> estimated from the simulation data (position and angle) by assuming length of the string. Even though this is not accurate calculation, it is still informative, as it involves the angular deviation of the string (i.e. oscillations). Smallest possible rectangle is then circumscribed and largest possible rectangle inscribed to the trace. The difference in the areas of these two rectangles gives then the rectangular area the pendulum sweeps. The smaller this area, the less oscillation the pendulum experiences and the more perfect is the square tracked. Note that rectangles were used in t</w:t>
      </w:r>
      <w:r w:rsidR="00D32D6A">
        <w:rPr>
          <w:lang w:val="en-GB"/>
        </w:rPr>
        <w:t xml:space="preserve">his method, since any deviation </w:t>
      </w:r>
      <w:r w:rsidR="00D32D6A" w:rsidRPr="002A2B59">
        <w:rPr>
          <w:lang w:val="en-GB"/>
        </w:rPr>
        <w:t>from perfect square shape can be readily solved by adjusting the stickiness correction variable.</w:t>
      </w:r>
    </w:p>
    <w:p w:rsidR="002A2B59" w:rsidRPr="002A2B59" w:rsidRDefault="00CC33F5" w:rsidP="00EB5603">
      <w:pPr>
        <w:pStyle w:val="BodyText"/>
        <w:rPr>
          <w:lang w:val="en-GB"/>
        </w:rPr>
      </w:pPr>
      <w:r w:rsidRPr="002A2B59">
        <w:rPr>
          <w:lang w:val="en-GB"/>
        </w:rPr>
        <w:t>Using this metric, the parameters of the controller were tuned using trial and error. The final set o</w:t>
      </w:r>
      <w:r>
        <w:rPr>
          <w:lang w:val="en-GB"/>
        </w:rPr>
        <w:t>f the parameters is given in Table I</w:t>
      </w:r>
      <w:r w:rsidRPr="002A2B59">
        <w:rPr>
          <w:lang w:val="en-GB"/>
        </w:rPr>
        <w:t xml:space="preserve"> </w:t>
      </w:r>
      <w:r>
        <w:rPr>
          <w:lang w:val="en-GB"/>
        </w:rPr>
        <w:t>below</w:t>
      </w:r>
      <w:r w:rsidRPr="002A2B59">
        <w:rPr>
          <w:lang w:val="en-GB"/>
        </w:rPr>
        <w:t>.</w:t>
      </w:r>
    </w:p>
    <w:p w:rsidR="007531D3" w:rsidRPr="007531D3" w:rsidRDefault="007531D3" w:rsidP="007531D3">
      <w:pPr>
        <w:pStyle w:val="tablehead"/>
        <w:rPr>
          <w:lang w:val="en-GB"/>
        </w:rPr>
      </w:pPr>
      <w:r w:rsidRPr="007531D3">
        <w:rPr>
          <w:lang w:val="en-GB"/>
        </w:rPr>
        <w:t>parameters of the best controller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27"/>
        <w:gridCol w:w="987"/>
        <w:gridCol w:w="1241"/>
        <w:gridCol w:w="900"/>
      </w:tblGrid>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Q(1,1), Q(3,3)</w:t>
            </w:r>
          </w:p>
        </w:tc>
        <w:tc>
          <w:tcPr>
            <w:tcW w:w="987" w:type="dxa"/>
            <w:vAlign w:val="center"/>
          </w:tcPr>
          <w:p w:rsidR="007531D3" w:rsidRPr="003318B3" w:rsidRDefault="007531D3" w:rsidP="007531D3">
            <w:pPr>
              <w:rPr>
                <w:sz w:val="16"/>
                <w:szCs w:val="16"/>
                <w:lang w:val="en-GB"/>
              </w:rPr>
            </w:pPr>
            <w:r>
              <w:rPr>
                <w:sz w:val="16"/>
                <w:szCs w:val="16"/>
                <w:lang w:val="en-GB"/>
              </w:rPr>
              <w:t>10</w:t>
            </w:r>
          </w:p>
        </w:tc>
        <w:tc>
          <w:tcPr>
            <w:tcW w:w="1241" w:type="dxa"/>
            <w:vAlign w:val="center"/>
          </w:tcPr>
          <w:p w:rsidR="007531D3" w:rsidRPr="007531D3" w:rsidRDefault="007531D3" w:rsidP="007531D3">
            <w:pPr>
              <w:rPr>
                <w:b/>
                <w:sz w:val="16"/>
                <w:szCs w:val="16"/>
                <w:lang w:val="en-GB"/>
              </w:rPr>
            </w:pPr>
            <w:r w:rsidRPr="007531D3">
              <w:rPr>
                <w:b/>
                <w:sz w:val="16"/>
                <w:szCs w:val="16"/>
                <w:lang w:val="en-GB"/>
              </w:rPr>
              <w:t>T</w:t>
            </w:r>
            <w:r w:rsidRPr="007531D3">
              <w:rPr>
                <w:b/>
                <w:sz w:val="16"/>
                <w:szCs w:val="16"/>
                <w:vertAlign w:val="subscript"/>
                <w:lang w:val="en-GB"/>
              </w:rPr>
              <w:t>S</w:t>
            </w:r>
          </w:p>
        </w:tc>
        <w:tc>
          <w:tcPr>
            <w:tcW w:w="900" w:type="dxa"/>
            <w:vAlign w:val="center"/>
          </w:tcPr>
          <w:p w:rsidR="007531D3" w:rsidRPr="003318B3" w:rsidRDefault="007531D3" w:rsidP="007531D3">
            <w:pPr>
              <w:rPr>
                <w:sz w:val="16"/>
                <w:szCs w:val="16"/>
                <w:lang w:val="en-GB"/>
              </w:rPr>
            </w:pPr>
            <w:r>
              <w:rPr>
                <w:sz w:val="16"/>
                <w:szCs w:val="16"/>
                <w:lang w:val="en-GB"/>
              </w:rPr>
              <w:t>1/30</w:t>
            </w: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Q(2,2), Q(4,4)</w:t>
            </w:r>
          </w:p>
        </w:tc>
        <w:tc>
          <w:tcPr>
            <w:tcW w:w="987" w:type="dxa"/>
            <w:vAlign w:val="center"/>
          </w:tcPr>
          <w:p w:rsidR="007531D3" w:rsidRDefault="007531D3" w:rsidP="007531D3">
            <w:pPr>
              <w:rPr>
                <w:sz w:val="16"/>
                <w:szCs w:val="16"/>
                <w:lang w:val="en-GB"/>
              </w:rPr>
            </w:pPr>
            <w:r>
              <w:rPr>
                <w:sz w:val="16"/>
                <w:szCs w:val="16"/>
                <w:lang w:val="en-GB"/>
              </w:rPr>
              <w:t>1</w:t>
            </w:r>
          </w:p>
        </w:tc>
        <w:tc>
          <w:tcPr>
            <w:tcW w:w="1241" w:type="dxa"/>
            <w:vAlign w:val="center"/>
          </w:tcPr>
          <w:p w:rsidR="007531D3" w:rsidRPr="007531D3" w:rsidRDefault="007531D3" w:rsidP="007531D3">
            <w:pPr>
              <w:rPr>
                <w:b/>
                <w:sz w:val="16"/>
                <w:szCs w:val="16"/>
                <w:lang w:val="en-GB"/>
              </w:rPr>
            </w:pPr>
            <w:r w:rsidRPr="007531D3">
              <w:rPr>
                <w:b/>
                <w:sz w:val="16"/>
                <w:szCs w:val="16"/>
                <w:lang w:val="en-GB"/>
              </w:rPr>
              <w:t>Angle constraint</w:t>
            </w:r>
          </w:p>
        </w:tc>
        <w:tc>
          <w:tcPr>
            <w:tcW w:w="900" w:type="dxa"/>
            <w:vAlign w:val="center"/>
          </w:tcPr>
          <w:p w:rsidR="007531D3" w:rsidRPr="003318B3" w:rsidRDefault="007531D3" w:rsidP="007531D3">
            <w:pPr>
              <w:rPr>
                <w:sz w:val="16"/>
                <w:szCs w:val="16"/>
                <w:lang w:val="en-GB"/>
              </w:rPr>
            </w:pPr>
            <w:r>
              <w:rPr>
                <w:sz w:val="16"/>
                <w:szCs w:val="16"/>
                <w:lang w:val="en-GB"/>
              </w:rPr>
              <w:t>5 deg.</w:t>
            </w: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Q(5,5), Q(7,7)</w:t>
            </w:r>
          </w:p>
        </w:tc>
        <w:tc>
          <w:tcPr>
            <w:tcW w:w="987" w:type="dxa"/>
            <w:vAlign w:val="center"/>
          </w:tcPr>
          <w:p w:rsidR="007531D3" w:rsidRDefault="007531D3" w:rsidP="007531D3">
            <w:pPr>
              <w:rPr>
                <w:sz w:val="16"/>
                <w:szCs w:val="16"/>
                <w:lang w:val="en-GB"/>
              </w:rPr>
            </w:pPr>
            <w:r>
              <w:rPr>
                <w:sz w:val="16"/>
                <w:szCs w:val="16"/>
                <w:lang w:val="en-GB"/>
              </w:rPr>
              <w:t>50</w:t>
            </w:r>
          </w:p>
        </w:tc>
        <w:tc>
          <w:tcPr>
            <w:tcW w:w="1241" w:type="dxa"/>
            <w:vAlign w:val="center"/>
          </w:tcPr>
          <w:p w:rsidR="007531D3" w:rsidRPr="007531D3" w:rsidRDefault="007531D3" w:rsidP="007531D3">
            <w:pPr>
              <w:rPr>
                <w:b/>
                <w:sz w:val="16"/>
                <w:szCs w:val="16"/>
                <w:lang w:val="en-GB"/>
              </w:rPr>
            </w:pPr>
            <w:r w:rsidRPr="007531D3">
              <w:rPr>
                <w:b/>
                <w:sz w:val="16"/>
                <w:szCs w:val="16"/>
                <w:lang w:val="en-GB"/>
              </w:rPr>
              <w:t>N</w:t>
            </w:r>
          </w:p>
        </w:tc>
        <w:tc>
          <w:tcPr>
            <w:tcW w:w="900" w:type="dxa"/>
            <w:vAlign w:val="center"/>
          </w:tcPr>
          <w:p w:rsidR="007531D3" w:rsidRPr="003318B3" w:rsidRDefault="007531D3" w:rsidP="007531D3">
            <w:pPr>
              <w:rPr>
                <w:sz w:val="16"/>
                <w:szCs w:val="16"/>
                <w:lang w:val="en-GB"/>
              </w:rPr>
            </w:pPr>
            <w:r>
              <w:rPr>
                <w:sz w:val="16"/>
                <w:szCs w:val="16"/>
                <w:lang w:val="en-GB"/>
              </w:rPr>
              <w:t>20</w:t>
            </w: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Q(6,6), Q(8,8)</w:t>
            </w:r>
          </w:p>
        </w:tc>
        <w:tc>
          <w:tcPr>
            <w:tcW w:w="987" w:type="dxa"/>
            <w:vAlign w:val="center"/>
          </w:tcPr>
          <w:p w:rsidR="007531D3" w:rsidRDefault="007531D3" w:rsidP="007531D3">
            <w:pPr>
              <w:rPr>
                <w:sz w:val="16"/>
                <w:szCs w:val="16"/>
                <w:lang w:val="en-GB"/>
              </w:rPr>
            </w:pPr>
            <w:r>
              <w:rPr>
                <w:sz w:val="16"/>
                <w:szCs w:val="16"/>
                <w:lang w:val="en-GB"/>
              </w:rPr>
              <w:t>2</w:t>
            </w:r>
          </w:p>
        </w:tc>
        <w:tc>
          <w:tcPr>
            <w:tcW w:w="1241" w:type="dxa"/>
            <w:vAlign w:val="center"/>
          </w:tcPr>
          <w:p w:rsidR="007531D3" w:rsidRPr="007531D3" w:rsidRDefault="007531D3" w:rsidP="007531D3">
            <w:pPr>
              <w:rPr>
                <w:b/>
                <w:sz w:val="16"/>
                <w:szCs w:val="16"/>
                <w:lang w:val="en-GB"/>
              </w:rPr>
            </w:pPr>
            <w:r w:rsidRPr="007531D3">
              <w:rPr>
                <w:b/>
                <w:sz w:val="16"/>
                <w:szCs w:val="16"/>
                <w:lang w:val="en-GB"/>
              </w:rPr>
              <w:t>Margin</w:t>
            </w:r>
          </w:p>
        </w:tc>
        <w:tc>
          <w:tcPr>
            <w:tcW w:w="900" w:type="dxa"/>
            <w:vAlign w:val="center"/>
          </w:tcPr>
          <w:p w:rsidR="007531D3" w:rsidRPr="003318B3" w:rsidRDefault="007531D3" w:rsidP="007531D3">
            <w:pPr>
              <w:rPr>
                <w:sz w:val="16"/>
                <w:szCs w:val="16"/>
                <w:lang w:val="en-GB"/>
              </w:rPr>
            </w:pPr>
            <w:r>
              <w:rPr>
                <w:sz w:val="16"/>
                <w:szCs w:val="16"/>
                <w:lang w:val="en-GB"/>
              </w:rPr>
              <w:t>0.001</w:t>
            </w: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R(1,1), R(2,2)</w:t>
            </w:r>
          </w:p>
        </w:tc>
        <w:tc>
          <w:tcPr>
            <w:tcW w:w="987" w:type="dxa"/>
            <w:vAlign w:val="center"/>
          </w:tcPr>
          <w:p w:rsidR="007531D3" w:rsidRDefault="007531D3" w:rsidP="007531D3">
            <w:pPr>
              <w:rPr>
                <w:sz w:val="16"/>
                <w:szCs w:val="16"/>
                <w:lang w:val="en-GB"/>
              </w:rPr>
            </w:pPr>
            <w:r>
              <w:rPr>
                <w:sz w:val="16"/>
                <w:szCs w:val="16"/>
                <w:lang w:val="en-GB"/>
              </w:rPr>
              <w:t>0.01</w:t>
            </w:r>
          </w:p>
        </w:tc>
        <w:tc>
          <w:tcPr>
            <w:tcW w:w="1241" w:type="dxa"/>
            <w:vAlign w:val="center"/>
          </w:tcPr>
          <w:p w:rsidR="007531D3" w:rsidRPr="007531D3" w:rsidRDefault="007531D3" w:rsidP="007531D3">
            <w:pPr>
              <w:rPr>
                <w:b/>
                <w:sz w:val="16"/>
                <w:szCs w:val="16"/>
                <w:lang w:val="en-GB"/>
              </w:rPr>
            </w:pPr>
            <w:r w:rsidRPr="007531D3">
              <w:rPr>
                <w:b/>
                <w:sz w:val="16"/>
                <w:szCs w:val="16"/>
                <w:lang w:val="en-GB"/>
              </w:rPr>
              <w:t>Warp</w:t>
            </w:r>
          </w:p>
        </w:tc>
        <w:tc>
          <w:tcPr>
            <w:tcW w:w="900" w:type="dxa"/>
            <w:vAlign w:val="center"/>
          </w:tcPr>
          <w:p w:rsidR="007531D3" w:rsidRDefault="007531D3" w:rsidP="007531D3">
            <w:pPr>
              <w:rPr>
                <w:sz w:val="16"/>
                <w:szCs w:val="16"/>
                <w:lang w:val="en-GB"/>
              </w:rPr>
            </w:pPr>
            <w:r>
              <w:rPr>
                <w:sz w:val="16"/>
                <w:szCs w:val="16"/>
                <w:lang w:val="en-GB"/>
              </w:rPr>
              <w:t>0.1</w:t>
            </w: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P(1,1), P(3,3)</w:t>
            </w:r>
          </w:p>
        </w:tc>
        <w:tc>
          <w:tcPr>
            <w:tcW w:w="987" w:type="dxa"/>
            <w:vAlign w:val="center"/>
          </w:tcPr>
          <w:p w:rsidR="007531D3" w:rsidRDefault="007531D3" w:rsidP="007531D3">
            <w:pPr>
              <w:rPr>
                <w:sz w:val="16"/>
                <w:szCs w:val="16"/>
                <w:lang w:val="en-GB"/>
              </w:rPr>
            </w:pPr>
            <w:r>
              <w:rPr>
                <w:sz w:val="16"/>
                <w:szCs w:val="16"/>
                <w:lang w:val="en-GB"/>
              </w:rPr>
              <w:t>5</w:t>
            </w:r>
          </w:p>
        </w:tc>
        <w:tc>
          <w:tcPr>
            <w:tcW w:w="1241" w:type="dxa"/>
            <w:vAlign w:val="center"/>
          </w:tcPr>
          <w:p w:rsidR="007531D3" w:rsidRDefault="007531D3" w:rsidP="007531D3">
            <w:pPr>
              <w:rPr>
                <w:sz w:val="16"/>
                <w:szCs w:val="16"/>
                <w:lang w:val="en-GB"/>
              </w:rPr>
            </w:pPr>
          </w:p>
        </w:tc>
        <w:tc>
          <w:tcPr>
            <w:tcW w:w="900" w:type="dxa"/>
            <w:vAlign w:val="center"/>
          </w:tcPr>
          <w:p w:rsidR="007531D3" w:rsidRDefault="007531D3" w:rsidP="007531D3">
            <w:pPr>
              <w:rPr>
                <w:sz w:val="16"/>
                <w:szCs w:val="16"/>
                <w:lang w:val="en-GB"/>
              </w:rPr>
            </w:pPr>
          </w:p>
        </w:tc>
      </w:tr>
      <w:tr w:rsidR="007531D3" w:rsidRPr="003318B3" w:rsidTr="007531D3">
        <w:trPr>
          <w:trHeight w:val="320"/>
          <w:jc w:val="center"/>
        </w:trPr>
        <w:tc>
          <w:tcPr>
            <w:tcW w:w="1327" w:type="dxa"/>
            <w:vAlign w:val="center"/>
          </w:tcPr>
          <w:p w:rsidR="007531D3" w:rsidRPr="007531D3" w:rsidRDefault="007531D3" w:rsidP="007531D3">
            <w:pPr>
              <w:pStyle w:val="tablecopy"/>
              <w:jc w:val="left"/>
              <w:rPr>
                <w:b/>
                <w:lang w:val="en-GB"/>
              </w:rPr>
            </w:pPr>
            <w:r w:rsidRPr="007531D3">
              <w:rPr>
                <w:b/>
                <w:lang w:val="en-GB"/>
              </w:rPr>
              <w:t>P(5,5), P(7,7)</w:t>
            </w:r>
          </w:p>
        </w:tc>
        <w:tc>
          <w:tcPr>
            <w:tcW w:w="987" w:type="dxa"/>
            <w:vAlign w:val="center"/>
          </w:tcPr>
          <w:p w:rsidR="007531D3" w:rsidRDefault="007531D3" w:rsidP="007531D3">
            <w:pPr>
              <w:rPr>
                <w:sz w:val="16"/>
                <w:szCs w:val="16"/>
                <w:lang w:val="en-GB"/>
              </w:rPr>
            </w:pPr>
            <w:r>
              <w:rPr>
                <w:sz w:val="16"/>
                <w:szCs w:val="16"/>
                <w:lang w:val="en-GB"/>
              </w:rPr>
              <w:t>30</w:t>
            </w:r>
          </w:p>
        </w:tc>
        <w:tc>
          <w:tcPr>
            <w:tcW w:w="1241" w:type="dxa"/>
            <w:vAlign w:val="center"/>
          </w:tcPr>
          <w:p w:rsidR="007531D3" w:rsidRDefault="007531D3" w:rsidP="007531D3">
            <w:pPr>
              <w:rPr>
                <w:sz w:val="16"/>
                <w:szCs w:val="16"/>
                <w:lang w:val="en-GB"/>
              </w:rPr>
            </w:pPr>
          </w:p>
        </w:tc>
        <w:tc>
          <w:tcPr>
            <w:tcW w:w="900" w:type="dxa"/>
            <w:vAlign w:val="center"/>
          </w:tcPr>
          <w:p w:rsidR="007531D3" w:rsidRDefault="007531D3" w:rsidP="007531D3">
            <w:pPr>
              <w:rPr>
                <w:sz w:val="16"/>
                <w:szCs w:val="16"/>
                <w:lang w:val="en-GB"/>
              </w:rPr>
            </w:pPr>
          </w:p>
        </w:tc>
      </w:tr>
    </w:tbl>
    <w:p w:rsidR="00A4621F" w:rsidRDefault="00A4621F" w:rsidP="002A2B59">
      <w:pPr>
        <w:pStyle w:val="BodyText"/>
        <w:rPr>
          <w:lang w:val="en-GB"/>
        </w:rPr>
      </w:pPr>
    </w:p>
    <w:p w:rsidR="00A4621F" w:rsidRDefault="00A4621F" w:rsidP="002A2B59">
      <w:pPr>
        <w:pStyle w:val="BodyText"/>
        <w:rPr>
          <w:lang w:val="en-GB"/>
        </w:rPr>
      </w:pPr>
      <w:r>
        <w:rPr>
          <w:lang w:val="en-GB"/>
        </w:rPr>
        <w:t xml:space="preserve">The trace of the best controller </w:t>
      </w:r>
      <w:r w:rsidR="001355C1">
        <w:rPr>
          <w:lang w:val="en-GB"/>
        </w:rPr>
        <w:t xml:space="preserve">(i.e. the one with smallest area traced) </w:t>
      </w:r>
      <w:r>
        <w:rPr>
          <w:lang w:val="en-GB"/>
        </w:rPr>
        <w:t xml:space="preserve">is shown in Fig. 1 below. </w:t>
      </w:r>
      <w:r w:rsidR="001355C1">
        <w:rPr>
          <w:lang w:val="en-GB"/>
        </w:rPr>
        <w:t xml:space="preserve">A case can be made for the controller which trace is shown in Fig. 2, since its trace is </w:t>
      </w:r>
      <w:r w:rsidR="001355C1">
        <w:rPr>
          <w:lang w:val="en-GB"/>
        </w:rPr>
        <w:lastRenderedPageBreak/>
        <w:t>smoother</w:t>
      </w:r>
      <w:r w:rsidR="005861DA">
        <w:rPr>
          <w:lang w:val="en-GB"/>
        </w:rPr>
        <w:t xml:space="preserve"> (without oscillation in the corners)</w:t>
      </w:r>
      <w:r w:rsidR="001355C1">
        <w:rPr>
          <w:lang w:val="en-GB"/>
        </w:rPr>
        <w:t xml:space="preserve"> and may be more </w:t>
      </w:r>
      <w:r w:rsidR="005861DA">
        <w:rPr>
          <w:lang w:val="en-GB"/>
        </w:rPr>
        <w:t>appealing to a human observer. This controller has the same parametrisation as the best one, apart from warp = 0.18.</w:t>
      </w:r>
      <w:r w:rsidR="00337F66">
        <w:rPr>
          <w:lang w:val="en-GB"/>
        </w:rPr>
        <w:t xml:space="preserve"> The solutions of both controllers calculated in time (i.e. quicker than the sampling time) and performed better than the non-constrained controller, which suffered significant oscillations in the corners.</w:t>
      </w:r>
    </w:p>
    <w:p w:rsidR="00337F66" w:rsidRDefault="00337F66" w:rsidP="002A2B59">
      <w:pPr>
        <w:pStyle w:val="BodyText"/>
        <w:rPr>
          <w:lang w:val="en-GB"/>
        </w:rPr>
      </w:pPr>
      <w:r>
        <w:rPr>
          <w:lang w:val="en-GB"/>
        </w:rPr>
        <w:t xml:space="preserve">There </w:t>
      </w:r>
      <w:r w:rsidR="00CC33F5">
        <w:rPr>
          <w:lang w:val="en-GB"/>
        </w:rPr>
        <w:t>are few points to be noted</w:t>
      </w:r>
      <w:r>
        <w:rPr>
          <w:lang w:val="en-GB"/>
        </w:rPr>
        <w:t xml:space="preserve">. First, by optimising the parameters for non-linear simulation, the performance of the linear simulation suffered. This can be attributed to the mismatch between the two models. </w:t>
      </w:r>
      <w:r w:rsidRPr="00CC33F5">
        <w:rPr>
          <w:highlight w:val="yellow"/>
          <w:lang w:val="en-GB"/>
        </w:rPr>
        <w:t>Linear simulation was also more sensitive to tight constraints margin, and could only run with margin = 0.03</w:t>
      </w:r>
      <w:r>
        <w:rPr>
          <w:lang w:val="en-GB"/>
        </w:rPr>
        <w:t>. Lower margin, however, improved the performance of the non-linear simulation. In the best simulation, the crane is doing small stabilising movements around the corners to minimise the oscillations. This, however, might not be possible in reality due to the stickiness of the crane.</w:t>
      </w:r>
    </w:p>
    <w:p w:rsidR="007E12F0" w:rsidRDefault="007E12F0" w:rsidP="007E12F0">
      <w:pPr>
        <w:pStyle w:val="Heading1"/>
        <w:rPr>
          <w:lang w:val="en-GB"/>
        </w:rPr>
      </w:pPr>
      <w:r>
        <w:rPr>
          <w:lang w:val="en-GB"/>
        </w:rPr>
        <w:t>Part B</w:t>
      </w:r>
    </w:p>
    <w:p w:rsidR="007E12F0" w:rsidRPr="007E12F0" w:rsidRDefault="007E12F0" w:rsidP="007E12F0">
      <w:pPr>
        <w:rPr>
          <w:lang w:val="en-GB"/>
        </w:rPr>
      </w:pPr>
    </w:p>
    <w:p w:rsidR="005861DA" w:rsidRDefault="00EB5603" w:rsidP="00EB5603">
      <w:pPr>
        <w:pStyle w:val="BodyText"/>
        <w:keepNext/>
        <w:ind w:firstLine="0"/>
        <w:jc w:val="lef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84.8pt">
            <v:imagedata r:id="rId8" o:title="best_ctrl"/>
          </v:shape>
        </w:pict>
      </w:r>
    </w:p>
    <w:p w:rsidR="005861DA" w:rsidRDefault="005861DA" w:rsidP="005861DA">
      <w:pPr>
        <w:pStyle w:val="Caption"/>
        <w:rPr>
          <w:b w:val="0"/>
          <w:sz w:val="16"/>
        </w:rPr>
      </w:pPr>
      <w:r w:rsidRPr="00D32D6A">
        <w:rPr>
          <w:b w:val="0"/>
          <w:sz w:val="16"/>
        </w:rPr>
        <w:t xml:space="preserve">Figure </w:t>
      </w:r>
      <w:r w:rsidRPr="00D32D6A">
        <w:rPr>
          <w:b w:val="0"/>
          <w:sz w:val="16"/>
        </w:rPr>
        <w:fldChar w:fldCharType="begin"/>
      </w:r>
      <w:r w:rsidRPr="00D32D6A">
        <w:rPr>
          <w:b w:val="0"/>
          <w:sz w:val="16"/>
        </w:rPr>
        <w:instrText xml:space="preserve"> SEQ Figure \* ARABIC </w:instrText>
      </w:r>
      <w:r w:rsidRPr="00D32D6A">
        <w:rPr>
          <w:b w:val="0"/>
          <w:sz w:val="16"/>
        </w:rPr>
        <w:fldChar w:fldCharType="separate"/>
      </w:r>
      <w:r w:rsidR="00337F66" w:rsidRPr="00D32D6A">
        <w:rPr>
          <w:b w:val="0"/>
          <w:noProof/>
          <w:sz w:val="16"/>
        </w:rPr>
        <w:t>1</w:t>
      </w:r>
      <w:r w:rsidRPr="00D32D6A">
        <w:rPr>
          <w:b w:val="0"/>
          <w:sz w:val="16"/>
        </w:rPr>
        <w:fldChar w:fldCharType="end"/>
      </w:r>
      <w:r w:rsidR="00337F66" w:rsidRPr="00D32D6A">
        <w:rPr>
          <w:b w:val="0"/>
          <w:sz w:val="16"/>
        </w:rPr>
        <w:t>:</w:t>
      </w:r>
      <w:r w:rsidRPr="00D32D6A">
        <w:rPr>
          <w:b w:val="0"/>
          <w:sz w:val="16"/>
        </w:rPr>
        <w:t xml:space="preserve"> trace of the best controller, red dashed lines are constraints, </w:t>
      </w:r>
      <w:r w:rsidR="00337F66" w:rsidRPr="00D32D6A">
        <w:rPr>
          <w:b w:val="0"/>
          <w:sz w:val="16"/>
        </w:rPr>
        <w:t>cyan</w:t>
      </w:r>
      <w:r w:rsidRPr="00D32D6A">
        <w:rPr>
          <w:b w:val="0"/>
          <w:sz w:val="16"/>
        </w:rPr>
        <w:t xml:space="preserve"> lines </w:t>
      </w:r>
      <w:r w:rsidR="00337F66" w:rsidRPr="00D32D6A">
        <w:rPr>
          <w:b w:val="0"/>
          <w:sz w:val="16"/>
        </w:rPr>
        <w:t xml:space="preserve">are </w:t>
      </w:r>
      <w:r w:rsidRPr="00D32D6A">
        <w:rPr>
          <w:b w:val="0"/>
          <w:sz w:val="16"/>
        </w:rPr>
        <w:t>inscribed and circumscribed rectangles</w:t>
      </w:r>
    </w:p>
    <w:p w:rsidR="00CC33F5" w:rsidRPr="00CC33F5" w:rsidRDefault="00CC33F5" w:rsidP="00CC33F5"/>
    <w:p w:rsidR="00337F66" w:rsidRDefault="00EB5603" w:rsidP="00EB5603">
      <w:pPr>
        <w:pStyle w:val="BodyText"/>
        <w:keepNext/>
        <w:ind w:firstLine="0"/>
      </w:pPr>
      <w:r>
        <w:rPr>
          <w:lang w:val="en-GB"/>
        </w:rPr>
        <w:pict>
          <v:shape id="_x0000_i1026" type="#_x0000_t75" style="width:246pt;height:184.8pt">
            <v:imagedata r:id="rId9" o:title="nice_ctrl"/>
          </v:shape>
        </w:pict>
      </w:r>
    </w:p>
    <w:p w:rsidR="005861DA" w:rsidRPr="00D32D6A" w:rsidRDefault="00337F66" w:rsidP="00337F66">
      <w:pPr>
        <w:pStyle w:val="Caption"/>
        <w:jc w:val="both"/>
        <w:rPr>
          <w:b w:val="0"/>
          <w:sz w:val="16"/>
          <w:lang w:val="en-GB"/>
        </w:rPr>
      </w:pPr>
      <w:r w:rsidRPr="00D32D6A">
        <w:rPr>
          <w:b w:val="0"/>
          <w:sz w:val="16"/>
        </w:rPr>
        <w:t xml:space="preserve">Figure </w:t>
      </w:r>
      <w:r w:rsidRPr="00D32D6A">
        <w:rPr>
          <w:b w:val="0"/>
          <w:sz w:val="16"/>
        </w:rPr>
        <w:fldChar w:fldCharType="begin"/>
      </w:r>
      <w:r w:rsidRPr="00D32D6A">
        <w:rPr>
          <w:b w:val="0"/>
          <w:sz w:val="16"/>
        </w:rPr>
        <w:instrText xml:space="preserve"> SEQ Figure \* ARABIC </w:instrText>
      </w:r>
      <w:r w:rsidRPr="00D32D6A">
        <w:rPr>
          <w:b w:val="0"/>
          <w:sz w:val="16"/>
        </w:rPr>
        <w:fldChar w:fldCharType="separate"/>
      </w:r>
      <w:r w:rsidRPr="00D32D6A">
        <w:rPr>
          <w:b w:val="0"/>
          <w:noProof/>
          <w:sz w:val="16"/>
        </w:rPr>
        <w:t>2</w:t>
      </w:r>
      <w:r w:rsidRPr="00D32D6A">
        <w:rPr>
          <w:b w:val="0"/>
          <w:sz w:val="16"/>
        </w:rPr>
        <w:fldChar w:fldCharType="end"/>
      </w:r>
      <w:r w:rsidRPr="00D32D6A">
        <w:rPr>
          <w:b w:val="0"/>
          <w:sz w:val="16"/>
        </w:rPr>
        <w:t>: trace of the smoother controller, constraints in red dashed lines, inscribed and circumscribed rectangles in cyan</w:t>
      </w:r>
    </w:p>
    <w:p w:rsidR="00337F66" w:rsidRDefault="00337F66" w:rsidP="002A2B59">
      <w:pPr>
        <w:pStyle w:val="BodyText"/>
        <w:rPr>
          <w:lang w:val="en-GB"/>
        </w:rPr>
      </w:pPr>
    </w:p>
    <w:p w:rsidR="003318B3" w:rsidRPr="003318B3" w:rsidRDefault="003318B3" w:rsidP="002A2B59">
      <w:pPr>
        <w:pStyle w:val="BodyText"/>
        <w:rPr>
          <w:lang w:val="en-GB"/>
        </w:rPr>
      </w:pPr>
      <w:r w:rsidRPr="003318B3">
        <w:rPr>
          <w:lang w:val="en-GB"/>
        </w:rPr>
        <w:t>This problem can be deconstructed into 4 separate problems of moving the mass from a given point A to a given point B. The four movements are then executed in sequence, such that the mass tracks the required square in the end. This definition of the problem allows for the use of controller implemented for previous assignments with only minor changes.</w:t>
      </w:r>
    </w:p>
    <w:p w:rsidR="00C2692F" w:rsidRPr="003318B3" w:rsidRDefault="00C2692F" w:rsidP="003318B3">
      <w:pPr>
        <w:pStyle w:val="BodyText"/>
        <w:rPr>
          <w:lang w:val="en-GB"/>
        </w:rPr>
      </w:pPr>
      <w:r w:rsidRPr="003318B3">
        <w:rPr>
          <w:lang w:val="en-GB"/>
        </w:rPr>
        <w:t>his template, modified in MS Word 2003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Pr="003318B3" w:rsidRDefault="00C2692F" w:rsidP="00C2692F">
      <w:pPr>
        <w:pStyle w:val="Heading1"/>
        <w:spacing w:before="120" w:after="120"/>
        <w:rPr>
          <w:lang w:val="en-GB"/>
        </w:rPr>
      </w:pPr>
      <w:r w:rsidRPr="003318B3">
        <w:rPr>
          <w:lang w:val="en-GB"/>
        </w:rPr>
        <w:t>Procedure for Paper Submission</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A.</w:t>
      </w:r>
      <w:r w:rsidRPr="003318B3">
        <w:rPr>
          <w:lang w:val="en-GB"/>
        </w:rPr>
        <w:tab/>
        <w:t>Selecting a Template (Heading 2)</w:t>
      </w:r>
    </w:p>
    <w:p w:rsidR="00C2692F" w:rsidRPr="003318B3" w:rsidRDefault="00C2692F" w:rsidP="00C2692F">
      <w:pPr>
        <w:pStyle w:val="BodyText"/>
        <w:rPr>
          <w:lang w:val="en-GB"/>
        </w:rPr>
      </w:pPr>
      <w:r w:rsidRPr="003318B3">
        <w:rPr>
          <w:lang w:val="en-GB"/>
        </w:rPr>
        <w:t>First, confirm that you have the correct template for your paper size. This template has been tailored for output on the US-letter paper size. Please do not use it for A4 paper since the margin requirements for A4 papers may be different from Letter paper size.</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B.</w:t>
      </w:r>
      <w:r w:rsidRPr="003318B3">
        <w:rPr>
          <w:lang w:val="en-GB"/>
        </w:rPr>
        <w:tab/>
        <w:t>Maintaining the Integrity of the Specifications</w:t>
      </w:r>
    </w:p>
    <w:p w:rsidR="00C2692F" w:rsidRPr="003318B3" w:rsidRDefault="00C2692F" w:rsidP="00C2692F">
      <w:pPr>
        <w:pStyle w:val="BodyText"/>
        <w:rPr>
          <w:lang w:val="en-GB"/>
        </w:rPr>
      </w:pPr>
      <w:r w:rsidRPr="003318B3">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Pr="003318B3" w:rsidRDefault="00C2692F" w:rsidP="00C2692F">
      <w:pPr>
        <w:pStyle w:val="Heading1"/>
        <w:spacing w:before="120" w:after="120"/>
        <w:rPr>
          <w:lang w:val="en-GB"/>
        </w:rPr>
      </w:pPr>
      <w:r w:rsidRPr="003318B3">
        <w:rPr>
          <w:lang w:val="en-GB"/>
        </w:rPr>
        <w:t>M</w:t>
      </w:r>
      <w:r w:rsidRPr="003318B3">
        <w:rPr>
          <w:sz w:val="16"/>
          <w:szCs w:val="16"/>
          <w:lang w:val="en-GB"/>
        </w:rPr>
        <w:t>ATH</w:t>
      </w:r>
    </w:p>
    <w:p w:rsidR="00C2692F" w:rsidRPr="003318B3" w:rsidRDefault="00C2692F" w:rsidP="00C2692F">
      <w:pPr>
        <w:pStyle w:val="BodyText"/>
        <w:rPr>
          <w:lang w:val="en-GB"/>
        </w:rPr>
      </w:pPr>
      <w:r w:rsidRPr="003318B3">
        <w:rPr>
          <w:lang w:val="en-GB"/>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3318B3" w:rsidRDefault="00C2692F" w:rsidP="00C2692F">
      <w:pPr>
        <w:pStyle w:val="BodyText"/>
        <w:rPr>
          <w:lang w:val="en-GB"/>
        </w:rPr>
      </w:pPr>
      <w:r w:rsidRPr="003318B3">
        <w:rPr>
          <w:lang w:val="en-GB"/>
        </w:rPr>
        <w:t>Finally, complete content and organizational editing before formatting. Please take note of the following items when proofreading spelling and grammar:</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 xml:space="preserve">A. </w:t>
      </w:r>
      <w:r w:rsidRPr="003318B3">
        <w:rPr>
          <w:lang w:val="en-GB"/>
        </w:rPr>
        <w:tab/>
        <w:t>Abbreviations and Acronyms</w:t>
      </w:r>
    </w:p>
    <w:p w:rsidR="00C2692F" w:rsidRPr="003318B3" w:rsidRDefault="00C2692F" w:rsidP="00C2692F">
      <w:pPr>
        <w:pStyle w:val="BodyText"/>
        <w:rPr>
          <w:lang w:val="en-GB"/>
        </w:rPr>
      </w:pPr>
      <w:r w:rsidRPr="003318B3">
        <w:rPr>
          <w:lang w:val="en-GB"/>
        </w:rPr>
        <w:t xml:space="preserve">Define abbreviations and acronyms the first time they are used in the text, even after they have been defined in the abstract. Abbreviations such as IEEE, SI, MKS, CGS, sc, dc, </w:t>
      </w:r>
      <w:r w:rsidRPr="003318B3">
        <w:rPr>
          <w:lang w:val="en-GB"/>
        </w:rPr>
        <w:lastRenderedPageBreak/>
        <w:t>and rms do not have to be defined. Do not use abbreviations in the title or heads unless they are unavoidable.</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B.</w:t>
      </w:r>
      <w:r w:rsidRPr="003318B3">
        <w:rPr>
          <w:lang w:val="en-GB"/>
        </w:rPr>
        <w:tab/>
        <w:t>Units</w:t>
      </w:r>
    </w:p>
    <w:p w:rsidR="00C2692F" w:rsidRPr="003318B3" w:rsidRDefault="00C2692F" w:rsidP="00C2692F">
      <w:pPr>
        <w:pStyle w:val="bulletlist"/>
        <w:rPr>
          <w:lang w:val="en-GB"/>
        </w:rPr>
      </w:pPr>
      <w:r w:rsidRPr="003318B3">
        <w:rPr>
          <w:lang w:val="en-GB"/>
        </w:rPr>
        <w:t>Use either SI (MKS) or CGS as primary units. (SI units are encouraged.) English units may be used as secondary units (in parentheses). An exception would be the use of English units as identifiers in trade, such as “3.5-inch disk drive”.</w:t>
      </w:r>
    </w:p>
    <w:p w:rsidR="00C2692F" w:rsidRPr="003318B3" w:rsidRDefault="00C2692F" w:rsidP="00C2692F">
      <w:pPr>
        <w:pStyle w:val="bulletlist"/>
        <w:rPr>
          <w:lang w:val="en-GB"/>
        </w:rPr>
      </w:pPr>
      <w:r w:rsidRPr="003318B3">
        <w:rPr>
          <w:lang w:val="en-GB"/>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C2692F" w:rsidRPr="003318B3" w:rsidRDefault="00C2692F" w:rsidP="00C2692F">
      <w:pPr>
        <w:pStyle w:val="bulletlist"/>
        <w:rPr>
          <w:lang w:val="en-GB"/>
        </w:rPr>
      </w:pPr>
      <w:r w:rsidRPr="003318B3">
        <w:rPr>
          <w:lang w:val="en-GB"/>
        </w:rPr>
        <w:t>Do not mix complete spellings and abbreviations of units: “Wb/m2” or “webers per square meter”, not “webers/m2”.  Spell out units when they appear in text: “. . . a few henries”, not “. . . a few H”.</w:t>
      </w:r>
    </w:p>
    <w:p w:rsidR="00C2692F" w:rsidRPr="003318B3" w:rsidRDefault="00C2692F" w:rsidP="00C2692F">
      <w:pPr>
        <w:pStyle w:val="bulletlist"/>
        <w:rPr>
          <w:lang w:val="en-GB"/>
        </w:rPr>
      </w:pPr>
      <w:r w:rsidRPr="003318B3">
        <w:rPr>
          <w:lang w:val="en-GB"/>
        </w:rPr>
        <w:t>Use a zero before decimal points: “0.25”, not “.25”. Use “cm3”, not “cc”. (</w:t>
      </w:r>
      <w:r w:rsidRPr="003318B3">
        <w:rPr>
          <w:i/>
          <w:iCs/>
          <w:lang w:val="en-GB"/>
        </w:rPr>
        <w:t>bullet list</w:t>
      </w:r>
      <w:r w:rsidRPr="003318B3">
        <w:rPr>
          <w:lang w:val="en-GB"/>
        </w:rPr>
        <w:t>)</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C.</w:t>
      </w:r>
      <w:r w:rsidRPr="003318B3">
        <w:rPr>
          <w:lang w:val="en-GB"/>
        </w:rPr>
        <w:tab/>
        <w:t>Equations</w:t>
      </w:r>
    </w:p>
    <w:p w:rsidR="00C2692F" w:rsidRPr="003318B3" w:rsidRDefault="00C2692F" w:rsidP="00C2692F">
      <w:pPr>
        <w:pStyle w:val="BodyText"/>
        <w:rPr>
          <w:lang w:val="en-GB"/>
        </w:rPr>
      </w:pPr>
      <w:r w:rsidRPr="003318B3">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3318B3" w:rsidRDefault="00C2692F" w:rsidP="00C2692F">
      <w:pPr>
        <w:pStyle w:val="equation0"/>
        <w:spacing w:before="120" w:after="120"/>
        <w:rPr>
          <w:lang w:val="en-GB"/>
        </w:rPr>
      </w:pPr>
      <w:r w:rsidRPr="003318B3">
        <w:rPr>
          <w:lang w:val="en-GB"/>
        </w:rPr>
        <w:tab/>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w:t>
      </w:r>
      <w:r w:rsidRPr="003318B3">
        <w:rPr>
          <w:lang w:val="en-GB"/>
        </w:rPr>
        <w:tab/>
      </w:r>
      <w:r w:rsidRPr="003318B3">
        <w:rPr>
          <w:lang w:val="en-GB"/>
        </w:rPr>
        <w:t></w:t>
      </w:r>
      <w:r w:rsidRPr="003318B3">
        <w:rPr>
          <w:lang w:val="en-GB"/>
        </w:rPr>
        <w:t></w:t>
      </w:r>
      <w:r w:rsidRPr="003318B3">
        <w:rPr>
          <w:lang w:val="en-GB"/>
        </w:rPr>
        <w:t></w:t>
      </w:r>
    </w:p>
    <w:p w:rsidR="00C2692F" w:rsidRPr="003318B3" w:rsidRDefault="00C2692F" w:rsidP="00C2692F">
      <w:pPr>
        <w:pStyle w:val="BodyText"/>
        <w:rPr>
          <w:lang w:val="en-GB"/>
        </w:rPr>
      </w:pPr>
      <w:r w:rsidRPr="003318B3">
        <w:rPr>
          <w:lang w:val="en-GB"/>
        </w:rP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D.</w:t>
      </w:r>
      <w:r w:rsidRPr="003318B3">
        <w:rPr>
          <w:lang w:val="en-GB"/>
        </w:rPr>
        <w:tab/>
        <w:t>Some Common Mistakes</w:t>
      </w:r>
    </w:p>
    <w:p w:rsidR="00C2692F" w:rsidRPr="003318B3" w:rsidRDefault="00C2692F" w:rsidP="00C2692F">
      <w:pPr>
        <w:pStyle w:val="bulletlist"/>
        <w:rPr>
          <w:lang w:val="en-GB"/>
        </w:rPr>
      </w:pPr>
      <w:r w:rsidRPr="003318B3">
        <w:rPr>
          <w:lang w:val="en-GB"/>
        </w:rPr>
        <w:t>The word “data” is plural, not singular.</w:t>
      </w:r>
    </w:p>
    <w:p w:rsidR="00C2692F" w:rsidRPr="003318B3" w:rsidRDefault="00C2692F" w:rsidP="00C2692F">
      <w:pPr>
        <w:pStyle w:val="bulletlist"/>
        <w:rPr>
          <w:lang w:val="en-GB"/>
        </w:rPr>
      </w:pPr>
      <w:r w:rsidRPr="003318B3">
        <w:rPr>
          <w:lang w:val="en-GB"/>
        </w:rPr>
        <w:t xml:space="preserve">The subscript for the permeability of vacuum </w:t>
      </w:r>
      <w:r w:rsidRPr="003318B3">
        <w:rPr>
          <w:rFonts w:ascii="Symbol" w:hAnsi="Symbol" w:cs="Symbol"/>
          <w:i/>
          <w:iCs/>
          <w:snapToGrid w:val="0"/>
          <w:lang w:val="en-GB"/>
        </w:rPr>
        <w:t></w:t>
      </w:r>
      <w:r w:rsidRPr="003318B3">
        <w:rPr>
          <w:vertAlign w:val="subscript"/>
          <w:lang w:val="en-GB"/>
        </w:rPr>
        <w:t>0</w:t>
      </w:r>
      <w:r w:rsidRPr="003318B3">
        <w:rPr>
          <w:lang w:val="en-GB"/>
        </w:rPr>
        <w:t>, and other common scientific constants, is zero with subscript formatting, not a lowercase letter “o”.</w:t>
      </w:r>
    </w:p>
    <w:p w:rsidR="00C2692F" w:rsidRPr="003318B3" w:rsidRDefault="00C2692F" w:rsidP="00C2692F">
      <w:pPr>
        <w:pStyle w:val="bulletlist"/>
        <w:rPr>
          <w:lang w:val="en-GB"/>
        </w:rPr>
      </w:pPr>
      <w:r w:rsidRPr="003318B3">
        <w:rPr>
          <w:lang w:val="en-GB"/>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r w:rsidRPr="003318B3">
        <w:rPr>
          <w:lang w:val="en-GB"/>
        </w:rPr>
        <w:t>sentence is punctuated outside of the closing parenthesis (like this). (A parenthetical sentence is punctuated within the parentheses.)</w:t>
      </w:r>
    </w:p>
    <w:p w:rsidR="00C2692F" w:rsidRPr="003318B3" w:rsidRDefault="00C2692F" w:rsidP="00C2692F">
      <w:pPr>
        <w:pStyle w:val="bulletlist"/>
        <w:rPr>
          <w:lang w:val="en-GB"/>
        </w:rPr>
      </w:pPr>
      <w:r w:rsidRPr="003318B3">
        <w:rPr>
          <w:lang w:val="en-GB"/>
        </w:rPr>
        <w:t>A graph within a graph is an “inset”, not an “insert”. The word alternatively is preferred to the word “alternately” (unless you really mean something that alternates).</w:t>
      </w:r>
    </w:p>
    <w:p w:rsidR="00C2692F" w:rsidRPr="003318B3" w:rsidRDefault="00C2692F" w:rsidP="00C2692F">
      <w:pPr>
        <w:pStyle w:val="bulletlist"/>
        <w:rPr>
          <w:lang w:val="en-GB"/>
        </w:rPr>
      </w:pPr>
      <w:r w:rsidRPr="003318B3">
        <w:rPr>
          <w:lang w:val="en-GB"/>
        </w:rPr>
        <w:t>Do not use the word “essentially” to mean “approximately” or “effectively”.</w:t>
      </w:r>
    </w:p>
    <w:p w:rsidR="00C2692F" w:rsidRPr="003318B3" w:rsidRDefault="00C2692F" w:rsidP="00C2692F">
      <w:pPr>
        <w:pStyle w:val="bulletlist"/>
        <w:rPr>
          <w:lang w:val="en-GB"/>
        </w:rPr>
      </w:pPr>
      <w:r w:rsidRPr="003318B3">
        <w:rPr>
          <w:lang w:val="en-GB"/>
        </w:rPr>
        <w:t>In your paper title, if the words “that uses” can accurately replace the word “using”, capitalize the “u”; if not, keep using lower-cased.</w:t>
      </w:r>
    </w:p>
    <w:p w:rsidR="00C2692F" w:rsidRPr="003318B3" w:rsidRDefault="00C2692F" w:rsidP="00C2692F">
      <w:pPr>
        <w:pStyle w:val="bulletlist"/>
        <w:rPr>
          <w:lang w:val="en-GB"/>
        </w:rPr>
      </w:pPr>
      <w:r w:rsidRPr="003318B3">
        <w:rPr>
          <w:lang w:val="en-GB"/>
        </w:rPr>
        <w:t>Be aware of the different meanings of the homophones “affect” and “effect”, “complement” and “compliment”, “discreet” and “discrete”, “principal” and “principle”.</w:t>
      </w:r>
    </w:p>
    <w:p w:rsidR="00C2692F" w:rsidRPr="003318B3" w:rsidRDefault="00C2692F" w:rsidP="00C2692F">
      <w:pPr>
        <w:pStyle w:val="bulletlist"/>
        <w:rPr>
          <w:lang w:val="en-GB"/>
        </w:rPr>
      </w:pPr>
      <w:r w:rsidRPr="003318B3">
        <w:rPr>
          <w:lang w:val="en-GB"/>
        </w:rPr>
        <w:t>Do not confuse “imply” and “infer”.</w:t>
      </w:r>
    </w:p>
    <w:p w:rsidR="00C2692F" w:rsidRPr="003318B3" w:rsidRDefault="00C2692F" w:rsidP="00C2692F">
      <w:pPr>
        <w:pStyle w:val="bulletlist"/>
        <w:rPr>
          <w:lang w:val="en-GB"/>
        </w:rPr>
      </w:pPr>
      <w:r w:rsidRPr="003318B3">
        <w:rPr>
          <w:lang w:val="en-GB"/>
        </w:rPr>
        <w:t>The prefix “non” is not a word; it should be joined to the word it modifies, usually without a hyphen.</w:t>
      </w:r>
    </w:p>
    <w:p w:rsidR="00C2692F" w:rsidRPr="003318B3" w:rsidRDefault="00C2692F" w:rsidP="00C2692F">
      <w:pPr>
        <w:pStyle w:val="bulletlist"/>
        <w:rPr>
          <w:lang w:val="en-GB"/>
        </w:rPr>
      </w:pPr>
      <w:r w:rsidRPr="003318B3">
        <w:rPr>
          <w:lang w:val="en-GB"/>
        </w:rPr>
        <w:t>There is no period after the “et” in the Latin abbreviation “et al.”.</w:t>
      </w:r>
    </w:p>
    <w:p w:rsidR="00C2692F" w:rsidRPr="003318B3" w:rsidRDefault="00C2692F" w:rsidP="00C2692F">
      <w:pPr>
        <w:pStyle w:val="bulletlist"/>
        <w:rPr>
          <w:lang w:val="en-GB"/>
        </w:rPr>
      </w:pPr>
      <w:r w:rsidRPr="003318B3">
        <w:rPr>
          <w:lang w:val="en-GB"/>
        </w:rPr>
        <w:t>The abbreviation “i.e.” means “that is”, and the abbreviation “e.g.” means “for example”.</w:t>
      </w:r>
    </w:p>
    <w:p w:rsidR="00C2692F" w:rsidRPr="003318B3" w:rsidRDefault="00C2692F" w:rsidP="00C2692F">
      <w:pPr>
        <w:pStyle w:val="Text"/>
        <w:rPr>
          <w:lang w:val="en-GB"/>
        </w:rPr>
      </w:pPr>
      <w:r w:rsidRPr="003318B3">
        <w:rPr>
          <w:lang w:val="en-GB"/>
        </w:rPr>
        <w:t>An excellent style manual for science writers is [7].</w:t>
      </w:r>
    </w:p>
    <w:p w:rsidR="00C2692F" w:rsidRPr="003318B3" w:rsidRDefault="00C2692F" w:rsidP="00C2692F">
      <w:pPr>
        <w:pStyle w:val="Heading1"/>
        <w:spacing w:before="120" w:after="120"/>
        <w:rPr>
          <w:lang w:val="en-GB"/>
        </w:rPr>
      </w:pPr>
      <w:r w:rsidRPr="003318B3">
        <w:rPr>
          <w:lang w:val="en-GB"/>
        </w:rPr>
        <w:t>Using the Template</w:t>
      </w:r>
    </w:p>
    <w:p w:rsidR="00C2692F" w:rsidRPr="003318B3" w:rsidRDefault="00C2692F" w:rsidP="00C2692F">
      <w:pPr>
        <w:pStyle w:val="BodyText"/>
        <w:rPr>
          <w:lang w:val="en-GB"/>
        </w:rPr>
      </w:pPr>
      <w:r w:rsidRPr="003318B3">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A.</w:t>
      </w:r>
      <w:r w:rsidRPr="003318B3">
        <w:rPr>
          <w:lang w:val="en-GB"/>
        </w:rPr>
        <w:tab/>
        <w:t>Authors and Affiliations</w:t>
      </w:r>
    </w:p>
    <w:p w:rsidR="00C2692F" w:rsidRPr="003318B3" w:rsidRDefault="00C2692F" w:rsidP="00C2692F">
      <w:pPr>
        <w:pStyle w:val="BodyText"/>
        <w:rPr>
          <w:lang w:val="en-GB"/>
        </w:rPr>
      </w:pPr>
      <w:r w:rsidRPr="003318B3">
        <w:rPr>
          <w:lang w:val="en-GB"/>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3318B3" w:rsidRDefault="00C2692F" w:rsidP="00C2692F">
      <w:pPr>
        <w:pStyle w:val="Heading3"/>
        <w:keepNext w:val="0"/>
        <w:numPr>
          <w:ilvl w:val="2"/>
          <w:numId w:val="0"/>
        </w:numPr>
        <w:tabs>
          <w:tab w:val="num" w:pos="540"/>
        </w:tabs>
        <w:autoSpaceDE/>
        <w:autoSpaceDN/>
        <w:spacing w:line="240" w:lineRule="exact"/>
        <w:ind w:firstLine="180"/>
        <w:jc w:val="both"/>
        <w:rPr>
          <w:lang w:val="en-GB"/>
        </w:rPr>
      </w:pPr>
      <w:r w:rsidRPr="003318B3">
        <w:rPr>
          <w:lang w:val="en-GB"/>
        </w:rPr>
        <w:t xml:space="preserve">For author/s of only one affiliation (Heading 3): </w:t>
      </w:r>
      <w:r w:rsidRPr="003318B3">
        <w:rPr>
          <w:i w:val="0"/>
          <w:iCs w:val="0"/>
          <w:lang w:val="en-GB"/>
        </w:rPr>
        <w:t>To change the default, adjust the template as follows.</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lang w:val="en-GB"/>
        </w:rPr>
      </w:pPr>
      <w:r w:rsidRPr="003318B3">
        <w:rPr>
          <w:lang w:val="en-GB"/>
        </w:rPr>
        <w:t xml:space="preserve">Selection (Heading 4): </w:t>
      </w:r>
      <w:r w:rsidRPr="003318B3">
        <w:rPr>
          <w:i w:val="0"/>
          <w:iCs w:val="0"/>
          <w:lang w:val="en-GB"/>
        </w:rPr>
        <w:t>Highlight all author and affiliation lines.</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Change number of columns: </w:t>
      </w:r>
      <w:r w:rsidRPr="003318B3">
        <w:rPr>
          <w:i w:val="0"/>
          <w:iCs w:val="0"/>
          <w:lang w:val="en-GB"/>
        </w:rPr>
        <w:t>Select the Columns icon from the MS Word Standard toolbar and then select “1 Column” from the selection palette.</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Deletion: </w:t>
      </w:r>
      <w:r w:rsidRPr="003318B3">
        <w:rPr>
          <w:i w:val="0"/>
          <w:iCs w:val="0"/>
          <w:lang w:val="en-GB"/>
        </w:rPr>
        <w:t>Delete the author and affiliation lines for the second affiliation.</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For author/s of more than two affiliations: </w:t>
      </w:r>
      <w:r w:rsidRPr="003318B3">
        <w:rPr>
          <w:i w:val="0"/>
          <w:iCs w:val="0"/>
          <w:lang w:val="en-GB"/>
        </w:rPr>
        <w:t>To change the default, adjust the template as follows.</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Selection: </w:t>
      </w:r>
      <w:r w:rsidRPr="003318B3">
        <w:rPr>
          <w:i w:val="0"/>
          <w:iCs w:val="0"/>
          <w:lang w:val="en-GB"/>
        </w:rPr>
        <w:t>Highlight all author and affiliation lines.</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lastRenderedPageBreak/>
        <w:t xml:space="preserve">Change number of columns: </w:t>
      </w:r>
      <w:r w:rsidRPr="003318B3">
        <w:rPr>
          <w:i w:val="0"/>
          <w:iCs w:val="0"/>
          <w:lang w:val="en-GB"/>
        </w:rPr>
        <w:t>Select the “Columns” icon from the MS Word Standard toolbar and then select “1 Column” from the selection palette.</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Highlight author and affiliation lines of affiliation 1 and copy this selection.</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Formatting: </w:t>
      </w:r>
      <w:r w:rsidRPr="003318B3">
        <w:rPr>
          <w:i w:val="0"/>
          <w:iCs w:val="0"/>
          <w:lang w:val="en-GB"/>
        </w:rPr>
        <w:t>Insert one hard return immediately after the last character of the last affiliation line. Then paste down the copy of affiliation 1. Repeat as necessary for each additional affiliation.</w:t>
      </w:r>
    </w:p>
    <w:p w:rsidR="00C2692F" w:rsidRPr="003318B3" w:rsidRDefault="00C2692F" w:rsidP="00C2692F">
      <w:pPr>
        <w:pStyle w:val="Heading4"/>
        <w:keepNext w:val="0"/>
        <w:numPr>
          <w:ilvl w:val="3"/>
          <w:numId w:val="0"/>
        </w:numPr>
        <w:tabs>
          <w:tab w:val="num" w:pos="630"/>
          <w:tab w:val="num" w:pos="720"/>
        </w:tabs>
        <w:autoSpaceDE/>
        <w:autoSpaceDN/>
        <w:spacing w:before="40" w:after="40"/>
        <w:ind w:firstLine="360"/>
        <w:jc w:val="both"/>
        <w:rPr>
          <w:lang w:val="en-GB"/>
        </w:rPr>
      </w:pPr>
      <w:r w:rsidRPr="003318B3">
        <w:rPr>
          <w:lang w:val="en-GB"/>
        </w:rPr>
        <w:t xml:space="preserve">Reassign number of columns: </w:t>
      </w:r>
      <w:r w:rsidRPr="003318B3">
        <w:rPr>
          <w:i w:val="0"/>
          <w:iCs w:val="0"/>
          <w:lang w:val="en-GB"/>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B.</w:t>
      </w:r>
      <w:r w:rsidRPr="003318B3">
        <w:rPr>
          <w:lang w:val="en-GB"/>
        </w:rPr>
        <w:tab/>
        <w:t>Identify the Headings</w:t>
      </w:r>
    </w:p>
    <w:p w:rsidR="00C2692F" w:rsidRPr="003318B3" w:rsidRDefault="00C2692F" w:rsidP="00C2692F">
      <w:pPr>
        <w:pStyle w:val="BodyText"/>
        <w:rPr>
          <w:lang w:val="en-GB"/>
        </w:rPr>
      </w:pPr>
      <w:r w:rsidRPr="003318B3">
        <w:rPr>
          <w:lang w:val="en-GB"/>
        </w:rPr>
        <w:t>Headings, or heads, are organizational devices that guide the reader through your paper. There are two types: component heads and text heads.</w:t>
      </w:r>
    </w:p>
    <w:p w:rsidR="00C2692F" w:rsidRPr="003318B3" w:rsidRDefault="00C2692F" w:rsidP="00C2692F">
      <w:pPr>
        <w:pStyle w:val="BodyText"/>
        <w:rPr>
          <w:lang w:val="en-GB"/>
        </w:rPr>
      </w:pPr>
      <w:r w:rsidRPr="003318B3">
        <w:rPr>
          <w:lang w:val="en-GB"/>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3318B3" w:rsidRDefault="00C2692F" w:rsidP="00C2692F">
      <w:pPr>
        <w:pStyle w:val="BodyText"/>
        <w:rPr>
          <w:lang w:val="en-GB"/>
        </w:rPr>
      </w:pPr>
      <w:r w:rsidRPr="003318B3">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Pr="003318B3" w:rsidRDefault="00C2692F" w:rsidP="00C2692F">
      <w:pPr>
        <w:pStyle w:val="Heading2"/>
        <w:keepLines/>
        <w:numPr>
          <w:ilvl w:val="1"/>
          <w:numId w:val="0"/>
        </w:numPr>
        <w:tabs>
          <w:tab w:val="num" w:pos="360"/>
        </w:tabs>
        <w:autoSpaceDE/>
        <w:autoSpaceDN/>
        <w:ind w:left="288" w:hanging="288"/>
        <w:rPr>
          <w:lang w:val="en-GB"/>
        </w:rPr>
      </w:pPr>
      <w:r w:rsidRPr="003318B3">
        <w:rPr>
          <w:lang w:val="en-GB"/>
        </w:rPr>
        <w:t>C.</w:t>
      </w:r>
      <w:r w:rsidRPr="003318B3">
        <w:rPr>
          <w:lang w:val="en-GB"/>
        </w:rPr>
        <w:tab/>
        <w:t>Figures and Tables</w:t>
      </w:r>
    </w:p>
    <w:p w:rsidR="00C2692F" w:rsidRPr="003318B3" w:rsidRDefault="00C2692F" w:rsidP="00C2692F">
      <w:pPr>
        <w:pStyle w:val="Heading3"/>
        <w:keepNext w:val="0"/>
        <w:numPr>
          <w:ilvl w:val="2"/>
          <w:numId w:val="0"/>
        </w:numPr>
        <w:tabs>
          <w:tab w:val="num" w:pos="540"/>
        </w:tabs>
        <w:autoSpaceDE/>
        <w:autoSpaceDN/>
        <w:spacing w:line="240" w:lineRule="exact"/>
        <w:ind w:firstLine="180"/>
        <w:jc w:val="both"/>
        <w:rPr>
          <w:lang w:val="en-GB"/>
        </w:rPr>
      </w:pPr>
      <w:r w:rsidRPr="003318B3">
        <w:rPr>
          <w:lang w:val="en-GB"/>
        </w:rPr>
        <w:t xml:space="preserve">Positioning Figures and Tables: </w:t>
      </w:r>
      <w:r w:rsidRPr="003318B3">
        <w:rPr>
          <w:i w:val="0"/>
          <w:iCs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3318B3" w:rsidRDefault="00C2692F" w:rsidP="00C2692F">
      <w:pPr>
        <w:pStyle w:val="tablehead"/>
        <w:rPr>
          <w:lang w:val="en-GB"/>
        </w:rPr>
      </w:pPr>
      <w:r w:rsidRPr="003318B3">
        <w:rPr>
          <w:lang w:val="en-GB"/>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rsidRPr="003318B3">
        <w:trPr>
          <w:cantSplit/>
          <w:trHeight w:val="240"/>
          <w:tblHeader/>
          <w:jc w:val="center"/>
        </w:trPr>
        <w:tc>
          <w:tcPr>
            <w:tcW w:w="720" w:type="dxa"/>
            <w:vMerge w:val="restart"/>
            <w:vAlign w:val="center"/>
          </w:tcPr>
          <w:p w:rsidR="00C2692F" w:rsidRPr="003318B3" w:rsidRDefault="00C2692F">
            <w:pPr>
              <w:pStyle w:val="tablecolhead"/>
              <w:rPr>
                <w:lang w:val="en-GB"/>
              </w:rPr>
            </w:pPr>
            <w:r w:rsidRPr="003318B3">
              <w:rPr>
                <w:lang w:val="en-GB"/>
              </w:rPr>
              <w:t>Table Head</w:t>
            </w:r>
          </w:p>
        </w:tc>
        <w:tc>
          <w:tcPr>
            <w:tcW w:w="4140" w:type="dxa"/>
            <w:gridSpan w:val="3"/>
            <w:vAlign w:val="center"/>
          </w:tcPr>
          <w:p w:rsidR="00C2692F" w:rsidRPr="003318B3" w:rsidRDefault="00C2692F">
            <w:pPr>
              <w:pStyle w:val="tablecolhead"/>
              <w:rPr>
                <w:lang w:val="en-GB"/>
              </w:rPr>
            </w:pPr>
            <w:r w:rsidRPr="003318B3">
              <w:rPr>
                <w:lang w:val="en-GB"/>
              </w:rPr>
              <w:t>Table Column Head</w:t>
            </w:r>
          </w:p>
        </w:tc>
      </w:tr>
      <w:tr w:rsidR="00C2692F" w:rsidRPr="003318B3">
        <w:trPr>
          <w:cantSplit/>
          <w:trHeight w:val="240"/>
          <w:tblHeader/>
          <w:jc w:val="center"/>
        </w:trPr>
        <w:tc>
          <w:tcPr>
            <w:tcW w:w="720" w:type="dxa"/>
            <w:vMerge/>
          </w:tcPr>
          <w:p w:rsidR="00C2692F" w:rsidRPr="003318B3" w:rsidRDefault="00C2692F">
            <w:pPr>
              <w:rPr>
                <w:sz w:val="16"/>
                <w:szCs w:val="16"/>
                <w:lang w:val="en-GB"/>
              </w:rPr>
            </w:pPr>
          </w:p>
        </w:tc>
        <w:tc>
          <w:tcPr>
            <w:tcW w:w="2340" w:type="dxa"/>
            <w:vAlign w:val="center"/>
          </w:tcPr>
          <w:p w:rsidR="00C2692F" w:rsidRPr="003318B3" w:rsidRDefault="00C2692F">
            <w:pPr>
              <w:pStyle w:val="tablecolsubhead"/>
              <w:rPr>
                <w:lang w:val="en-GB"/>
              </w:rPr>
            </w:pPr>
            <w:r w:rsidRPr="003318B3">
              <w:rPr>
                <w:lang w:val="en-GB"/>
              </w:rPr>
              <w:t>Table column subhead</w:t>
            </w:r>
          </w:p>
        </w:tc>
        <w:tc>
          <w:tcPr>
            <w:tcW w:w="900" w:type="dxa"/>
            <w:vAlign w:val="center"/>
          </w:tcPr>
          <w:p w:rsidR="00C2692F" w:rsidRPr="003318B3" w:rsidRDefault="00C2692F">
            <w:pPr>
              <w:pStyle w:val="tablecolsubhead"/>
              <w:rPr>
                <w:lang w:val="en-GB"/>
              </w:rPr>
            </w:pPr>
            <w:r w:rsidRPr="003318B3">
              <w:rPr>
                <w:lang w:val="en-GB"/>
              </w:rPr>
              <w:t>Subhead</w:t>
            </w:r>
          </w:p>
        </w:tc>
        <w:tc>
          <w:tcPr>
            <w:tcW w:w="900" w:type="dxa"/>
            <w:vAlign w:val="center"/>
          </w:tcPr>
          <w:p w:rsidR="00C2692F" w:rsidRPr="003318B3" w:rsidRDefault="00C2692F">
            <w:pPr>
              <w:pStyle w:val="tablecolsubhead"/>
              <w:rPr>
                <w:lang w:val="en-GB"/>
              </w:rPr>
            </w:pPr>
            <w:r w:rsidRPr="003318B3">
              <w:rPr>
                <w:lang w:val="en-GB"/>
              </w:rPr>
              <w:t>Subhead</w:t>
            </w:r>
          </w:p>
        </w:tc>
      </w:tr>
      <w:tr w:rsidR="00C2692F" w:rsidRPr="003318B3">
        <w:trPr>
          <w:trHeight w:val="320"/>
          <w:jc w:val="center"/>
        </w:trPr>
        <w:tc>
          <w:tcPr>
            <w:tcW w:w="720" w:type="dxa"/>
            <w:vAlign w:val="center"/>
          </w:tcPr>
          <w:p w:rsidR="00C2692F" w:rsidRPr="003318B3" w:rsidRDefault="00C2692F">
            <w:pPr>
              <w:pStyle w:val="tablecopy"/>
              <w:rPr>
                <w:sz w:val="8"/>
                <w:szCs w:val="8"/>
                <w:lang w:val="en-GB"/>
              </w:rPr>
            </w:pPr>
            <w:r w:rsidRPr="003318B3">
              <w:rPr>
                <w:lang w:val="en-GB"/>
              </w:rPr>
              <w:t>copy</w:t>
            </w:r>
          </w:p>
        </w:tc>
        <w:tc>
          <w:tcPr>
            <w:tcW w:w="2340" w:type="dxa"/>
            <w:vAlign w:val="center"/>
          </w:tcPr>
          <w:p w:rsidR="00C2692F" w:rsidRPr="003318B3" w:rsidRDefault="00C2692F">
            <w:pPr>
              <w:pStyle w:val="tablecopy"/>
              <w:rPr>
                <w:lang w:val="en-GB"/>
              </w:rPr>
            </w:pPr>
            <w:r w:rsidRPr="003318B3">
              <w:rPr>
                <w:lang w:val="en-GB"/>
              </w:rPr>
              <w:t>More table copy</w:t>
            </w:r>
            <w:r w:rsidRPr="003318B3">
              <w:rPr>
                <w:vertAlign w:val="superscript"/>
                <w:lang w:val="en-GB"/>
              </w:rPr>
              <w:t>a</w:t>
            </w:r>
          </w:p>
        </w:tc>
        <w:tc>
          <w:tcPr>
            <w:tcW w:w="900" w:type="dxa"/>
            <w:vAlign w:val="center"/>
          </w:tcPr>
          <w:p w:rsidR="00C2692F" w:rsidRPr="003318B3" w:rsidRDefault="00C2692F">
            <w:pPr>
              <w:rPr>
                <w:sz w:val="16"/>
                <w:szCs w:val="16"/>
                <w:lang w:val="en-GB"/>
              </w:rPr>
            </w:pPr>
          </w:p>
        </w:tc>
        <w:tc>
          <w:tcPr>
            <w:tcW w:w="900" w:type="dxa"/>
            <w:vAlign w:val="center"/>
          </w:tcPr>
          <w:p w:rsidR="00C2692F" w:rsidRPr="003318B3" w:rsidRDefault="00C2692F">
            <w:pPr>
              <w:rPr>
                <w:sz w:val="16"/>
                <w:szCs w:val="16"/>
                <w:lang w:val="en-GB"/>
              </w:rPr>
            </w:pPr>
          </w:p>
        </w:tc>
      </w:tr>
    </w:tbl>
    <w:p w:rsidR="00C2692F" w:rsidRPr="003318B3" w:rsidRDefault="00C2692F" w:rsidP="00C2692F">
      <w:pPr>
        <w:pStyle w:val="tablefootnote"/>
        <w:rPr>
          <w:lang w:val="en-GB"/>
        </w:rPr>
      </w:pPr>
      <w:r w:rsidRPr="003318B3">
        <w:rPr>
          <w:lang w:val="en-GB"/>
        </w:rPr>
        <w:t>a. Sample of a Table footnote. (Table footnote)</w:t>
      </w:r>
    </w:p>
    <w:p w:rsidR="00C2692F" w:rsidRPr="003318B3" w:rsidRDefault="00C2692F" w:rsidP="00C2692F">
      <w:pPr>
        <w:rPr>
          <w:lang w:val="en-GB"/>
        </w:rPr>
      </w:pPr>
    </w:p>
    <w:p w:rsidR="00C2692F" w:rsidRPr="003318B3" w:rsidRDefault="00C2692F" w:rsidP="00C2692F">
      <w:pPr>
        <w:pStyle w:val="figurecaption"/>
        <w:rPr>
          <w:lang w:val="en-GB"/>
        </w:rPr>
      </w:pPr>
      <w:r w:rsidRPr="003318B3">
        <w:rPr>
          <w:lang w:val="en-GB"/>
        </w:rPr>
        <w:t xml:space="preserve">Example of a figure caption. </w:t>
      </w:r>
      <w:r w:rsidRPr="003318B3">
        <w:rPr>
          <w:i/>
          <w:iCs/>
          <w:lang w:val="en-GB"/>
        </w:rPr>
        <w:t>(figure caption)</w:t>
      </w:r>
    </w:p>
    <w:p w:rsidR="00C2692F" w:rsidRPr="003318B3" w:rsidRDefault="00C2692F" w:rsidP="00C2692F">
      <w:pPr>
        <w:pStyle w:val="Text"/>
        <w:rPr>
          <w:lang w:val="en-GB"/>
        </w:rPr>
      </w:pPr>
      <w:r w:rsidRPr="003318B3">
        <w:rPr>
          <w:lang w:val="en-GB"/>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C2692F" w:rsidRPr="003318B3" w:rsidRDefault="00C2692F">
      <w:pPr>
        <w:pStyle w:val="Heading1"/>
        <w:rPr>
          <w:lang w:val="en-GB"/>
        </w:rPr>
      </w:pPr>
      <w:r w:rsidRPr="003318B3">
        <w:rPr>
          <w:lang w:val="en-GB"/>
        </w:rPr>
        <w:t>Conclusion</w:t>
      </w:r>
    </w:p>
    <w:p w:rsidR="00C2692F" w:rsidRPr="003318B3" w:rsidRDefault="00C2692F">
      <w:pPr>
        <w:pStyle w:val="Text"/>
        <w:rPr>
          <w:lang w:val="en-GB"/>
        </w:rPr>
      </w:pPr>
      <w:r w:rsidRPr="003318B3">
        <w:rPr>
          <w:lang w:val="en-GB"/>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Pr="003318B3" w:rsidRDefault="00C2692F">
      <w:pPr>
        <w:pStyle w:val="ReferenceHead"/>
        <w:rPr>
          <w:lang w:val="en-GB"/>
        </w:rPr>
      </w:pPr>
      <w:r w:rsidRPr="003318B3">
        <w:rPr>
          <w:lang w:val="en-GB"/>
        </w:rPr>
        <w:t>Appendix</w:t>
      </w:r>
    </w:p>
    <w:p w:rsidR="00C2692F" w:rsidRPr="003318B3" w:rsidRDefault="00C2692F" w:rsidP="00C2692F">
      <w:pPr>
        <w:pStyle w:val="Text"/>
        <w:rPr>
          <w:lang w:val="en-GB"/>
        </w:rPr>
      </w:pPr>
      <w:r w:rsidRPr="003318B3">
        <w:rPr>
          <w:lang w:val="en-GB"/>
        </w:rPr>
        <w:t>Appendixes should appear before the acknowledgment.</w:t>
      </w:r>
    </w:p>
    <w:p w:rsidR="00C2692F" w:rsidRPr="003318B3" w:rsidRDefault="00C2692F">
      <w:pPr>
        <w:pStyle w:val="ReferenceHead"/>
        <w:rPr>
          <w:lang w:val="en-GB"/>
        </w:rPr>
      </w:pPr>
      <w:r w:rsidRPr="003318B3">
        <w:rPr>
          <w:lang w:val="en-GB"/>
        </w:rPr>
        <w:t>Acknowledgment</w:t>
      </w:r>
    </w:p>
    <w:p w:rsidR="00C2692F" w:rsidRPr="003318B3" w:rsidRDefault="00C2692F">
      <w:pPr>
        <w:pStyle w:val="Text"/>
        <w:rPr>
          <w:lang w:val="en-GB"/>
        </w:rPr>
      </w:pPr>
      <w:r w:rsidRPr="003318B3">
        <w:rPr>
          <w:lang w:val="en-GB"/>
        </w:rPr>
        <w:t>The preferred spelling of the word “acknowledgment” in America is without an “e” after the “g”. Avoid the stilted expression, “One of us (R. B. G.) thanks . . .”  Instead, try “R. B. G. thanks”. Put sponsor acknowledgments in the unnumbered footnote on the first page.</w:t>
      </w:r>
    </w:p>
    <w:p w:rsidR="00C2692F" w:rsidRPr="003318B3" w:rsidRDefault="00C2692F">
      <w:pPr>
        <w:pStyle w:val="ReferenceHead"/>
        <w:rPr>
          <w:lang w:val="en-GB"/>
        </w:rPr>
      </w:pPr>
      <w:r w:rsidRPr="003318B3">
        <w:rPr>
          <w:lang w:val="en-GB"/>
        </w:rPr>
        <w:t>References</w:t>
      </w:r>
    </w:p>
    <w:p w:rsidR="00C2692F" w:rsidRPr="003318B3" w:rsidRDefault="00C2692F">
      <w:pPr>
        <w:numPr>
          <w:ilvl w:val="0"/>
          <w:numId w:val="19"/>
        </w:numPr>
        <w:rPr>
          <w:sz w:val="16"/>
          <w:szCs w:val="16"/>
          <w:lang w:val="en-GB"/>
        </w:rPr>
      </w:pPr>
      <w:r w:rsidRPr="003318B3">
        <w:rPr>
          <w:sz w:val="16"/>
          <w:szCs w:val="16"/>
          <w:lang w:val="en-GB"/>
        </w:rPr>
        <w:t xml:space="preserve">G. O. Young, “Synthetic structure of industrial plastics (Book style with paper title and editor),” </w:t>
      </w:r>
      <w:r w:rsidRPr="003318B3">
        <w:rPr>
          <w:sz w:val="16"/>
          <w:szCs w:val="16"/>
          <w:lang w:val="en-GB"/>
        </w:rPr>
        <w:tab/>
        <w:t xml:space="preserve">in </w:t>
      </w:r>
      <w:r w:rsidRPr="003318B3">
        <w:rPr>
          <w:i/>
          <w:iCs/>
          <w:sz w:val="16"/>
          <w:szCs w:val="16"/>
          <w:lang w:val="en-GB"/>
        </w:rPr>
        <w:t>Plastics</w:t>
      </w:r>
      <w:r w:rsidRPr="003318B3">
        <w:rPr>
          <w:sz w:val="16"/>
          <w:szCs w:val="16"/>
          <w:lang w:val="en-GB"/>
        </w:rPr>
        <w:t>, 2nd ed. vol. 3, J. Peters, Ed.  New York: McGraw-Hill, 1964, pp. 15–64.</w:t>
      </w:r>
    </w:p>
    <w:p w:rsidR="00C2692F" w:rsidRPr="003318B3" w:rsidRDefault="00C2692F">
      <w:pPr>
        <w:numPr>
          <w:ilvl w:val="0"/>
          <w:numId w:val="19"/>
        </w:numPr>
        <w:rPr>
          <w:sz w:val="16"/>
          <w:szCs w:val="16"/>
          <w:lang w:val="en-GB"/>
        </w:rPr>
      </w:pPr>
      <w:r w:rsidRPr="003318B3">
        <w:rPr>
          <w:sz w:val="16"/>
          <w:szCs w:val="16"/>
          <w:lang w:val="en-GB"/>
        </w:rPr>
        <w:t xml:space="preserve">W.-K. Chen, </w:t>
      </w:r>
      <w:r w:rsidRPr="003318B3">
        <w:rPr>
          <w:i/>
          <w:iCs/>
          <w:sz w:val="16"/>
          <w:szCs w:val="16"/>
          <w:lang w:val="en-GB"/>
        </w:rPr>
        <w:t>Linear Networks and Systems</w:t>
      </w:r>
      <w:r w:rsidRPr="003318B3">
        <w:rPr>
          <w:sz w:val="16"/>
          <w:szCs w:val="16"/>
          <w:lang w:val="en-GB"/>
        </w:rPr>
        <w:t xml:space="preserve"> (Book style)</w:t>
      </w:r>
      <w:r w:rsidRPr="003318B3">
        <w:rPr>
          <w:i/>
          <w:iCs/>
          <w:sz w:val="16"/>
          <w:szCs w:val="16"/>
          <w:lang w:val="en-GB"/>
        </w:rPr>
        <w:t>.</w:t>
      </w:r>
      <w:r w:rsidRPr="003318B3">
        <w:rPr>
          <w:sz w:val="16"/>
          <w:szCs w:val="16"/>
          <w:lang w:val="en-GB"/>
        </w:rPr>
        <w:tab/>
        <w:t>Belmont, CA: Wadsworth, 1993, pp. 123–135.</w:t>
      </w:r>
    </w:p>
    <w:p w:rsidR="00C2692F" w:rsidRPr="003318B3" w:rsidRDefault="00C2692F">
      <w:pPr>
        <w:numPr>
          <w:ilvl w:val="0"/>
          <w:numId w:val="19"/>
        </w:numPr>
        <w:rPr>
          <w:sz w:val="16"/>
          <w:szCs w:val="16"/>
          <w:lang w:val="en-GB"/>
        </w:rPr>
      </w:pPr>
      <w:r w:rsidRPr="003318B3">
        <w:rPr>
          <w:sz w:val="16"/>
          <w:szCs w:val="16"/>
          <w:lang w:val="en-GB"/>
        </w:rPr>
        <w:tab/>
        <w:t xml:space="preserve">H. Poor, </w:t>
      </w:r>
      <w:r w:rsidRPr="003318B3">
        <w:rPr>
          <w:i/>
          <w:iCs/>
          <w:sz w:val="16"/>
          <w:szCs w:val="16"/>
          <w:lang w:val="en-GB"/>
        </w:rPr>
        <w:t>An Introduction to Signal Detection and Estimation</w:t>
      </w:r>
      <w:r w:rsidRPr="003318B3">
        <w:rPr>
          <w:sz w:val="16"/>
          <w:szCs w:val="16"/>
          <w:lang w:val="en-GB"/>
        </w:rPr>
        <w:t>.   New York: Springer-Verlag, 1985, ch. 4.</w:t>
      </w:r>
    </w:p>
    <w:p w:rsidR="00C2692F" w:rsidRPr="003318B3" w:rsidRDefault="00C2692F">
      <w:pPr>
        <w:pStyle w:val="References"/>
        <w:numPr>
          <w:ilvl w:val="0"/>
          <w:numId w:val="19"/>
        </w:numPr>
        <w:rPr>
          <w:lang w:val="en-GB"/>
        </w:rPr>
      </w:pPr>
      <w:r w:rsidRPr="003318B3">
        <w:rPr>
          <w:lang w:val="en-GB"/>
        </w:rPr>
        <w:t>B. Smith, “An approach to graphs of linear forms (Unpublished work style),” unpublished.</w:t>
      </w:r>
    </w:p>
    <w:p w:rsidR="00C2692F" w:rsidRPr="003318B3" w:rsidRDefault="00C2692F">
      <w:pPr>
        <w:numPr>
          <w:ilvl w:val="0"/>
          <w:numId w:val="19"/>
        </w:numPr>
        <w:rPr>
          <w:sz w:val="16"/>
          <w:szCs w:val="16"/>
          <w:lang w:val="en-GB"/>
        </w:rPr>
      </w:pPr>
      <w:r w:rsidRPr="003318B3">
        <w:rPr>
          <w:sz w:val="16"/>
          <w:szCs w:val="16"/>
          <w:lang w:val="en-GB"/>
        </w:rPr>
        <w:t xml:space="preserve">E. H. Miller, “A note on reflector arrays (Periodical style—Accepted for publication),” </w:t>
      </w:r>
      <w:r w:rsidRPr="003318B3">
        <w:rPr>
          <w:i/>
          <w:iCs/>
          <w:sz w:val="16"/>
          <w:szCs w:val="16"/>
          <w:lang w:val="en-GB"/>
        </w:rPr>
        <w:t>IEEE Trans. Antennas Propagat.</w:t>
      </w:r>
      <w:r w:rsidRPr="003318B3">
        <w:rPr>
          <w:sz w:val="16"/>
          <w:szCs w:val="16"/>
          <w:lang w:val="en-GB"/>
        </w:rPr>
        <w:t>, to be published.</w:t>
      </w:r>
    </w:p>
    <w:p w:rsidR="00C2692F" w:rsidRPr="003318B3" w:rsidRDefault="00C2692F">
      <w:pPr>
        <w:numPr>
          <w:ilvl w:val="0"/>
          <w:numId w:val="19"/>
        </w:numPr>
        <w:rPr>
          <w:sz w:val="16"/>
          <w:szCs w:val="16"/>
          <w:lang w:val="en-GB"/>
        </w:rPr>
      </w:pPr>
      <w:r w:rsidRPr="003318B3">
        <w:rPr>
          <w:sz w:val="16"/>
          <w:szCs w:val="16"/>
          <w:lang w:val="en-GB"/>
        </w:rPr>
        <w:t xml:space="preserve">J. Wang, “Fundamentals of erbium-doped fiber amplifiers arrays (Periodical style—Submitted for publication),” </w:t>
      </w:r>
      <w:r w:rsidRPr="003318B3">
        <w:rPr>
          <w:i/>
          <w:iCs/>
          <w:sz w:val="16"/>
          <w:szCs w:val="16"/>
          <w:lang w:val="en-GB"/>
        </w:rPr>
        <w:t>IEEE J. Quantum Electron.</w:t>
      </w:r>
      <w:r w:rsidRPr="003318B3">
        <w:rPr>
          <w:sz w:val="16"/>
          <w:szCs w:val="16"/>
          <w:lang w:val="en-GB"/>
        </w:rPr>
        <w:t>, submitted for publication.</w:t>
      </w:r>
    </w:p>
    <w:p w:rsidR="00C2692F" w:rsidRPr="003318B3" w:rsidRDefault="00C2692F">
      <w:pPr>
        <w:pStyle w:val="References"/>
        <w:numPr>
          <w:ilvl w:val="0"/>
          <w:numId w:val="19"/>
        </w:numPr>
        <w:rPr>
          <w:lang w:val="en-GB"/>
        </w:rPr>
      </w:pPr>
      <w:r w:rsidRPr="003318B3">
        <w:rPr>
          <w:lang w:val="en-GB"/>
        </w:rPr>
        <w:t>C. J. Kaufman, Rocky Mountain Research Lab., Boulder, CO, private communication, May 1995.</w:t>
      </w:r>
    </w:p>
    <w:p w:rsidR="00C2692F" w:rsidRPr="003318B3" w:rsidRDefault="001C53B8">
      <w:pPr>
        <w:pStyle w:val="References"/>
        <w:numPr>
          <w:ilvl w:val="0"/>
          <w:numId w:val="19"/>
        </w:numPr>
        <w:rPr>
          <w:lang w:val="en-GB"/>
        </w:rPr>
      </w:pPr>
      <w:r>
        <w:rPr>
          <w:lang w:val="en-GB"/>
        </w:rPr>
        <w:pict>
          <v:shapetype id="_x0000_t202" coordsize="21600,21600" o:spt="202" path="m,l,21600r21600,l21600,xe">
            <v:stroke joinstyle="miter"/>
            <v:path gradientshapeok="t" o:connecttype="rect"/>
          </v:shapetype>
          <v:shape id="_x0000_s1032" type="#_x0000_t202" style="position:absolute;left:0;text-align:left;margin-left:-259.2pt;margin-top:132.75pt;width:240.65pt;height:90pt;z-index:-1;mso-wrap-edited:f" wrapcoords="-64 0 -64 21600 21664 21600 21664 0 -64 0">
            <v:textbox style="mso-next-textbox:#_x0000_s1032">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w:r>
      <w:r w:rsidR="00C2692F" w:rsidRPr="003318B3">
        <w:rPr>
          <w:lang w:val="en-GB"/>
        </w:rPr>
        <w:t xml:space="preserve">Y. Yorozu, M. Hirano, K. Oka, and Y. Tagawa, “Electron spectroscopy studies on magneto-optical media and plastic substrate interfaces(Translation Journals style),” </w:t>
      </w:r>
      <w:r w:rsidR="00C2692F" w:rsidRPr="003318B3">
        <w:rPr>
          <w:i/>
          <w:iCs/>
          <w:lang w:val="en-GB"/>
        </w:rPr>
        <w:t>IEEE Transl. J. Magn.Jpn.</w:t>
      </w:r>
      <w:r w:rsidR="00C2692F" w:rsidRPr="003318B3">
        <w:rPr>
          <w:lang w:val="en-GB"/>
        </w:rPr>
        <w:t>, vol. 2, Aug. 1987, pp. 740–741 [</w:t>
      </w:r>
      <w:r w:rsidR="00C2692F" w:rsidRPr="003318B3">
        <w:rPr>
          <w:i/>
          <w:iCs/>
          <w:lang w:val="en-GB"/>
        </w:rPr>
        <w:t>Dig. 9</w:t>
      </w:r>
      <w:r w:rsidR="00C2692F" w:rsidRPr="003318B3">
        <w:rPr>
          <w:i/>
          <w:iCs/>
          <w:vertAlign w:val="superscript"/>
          <w:lang w:val="en-GB"/>
        </w:rPr>
        <w:t>th</w:t>
      </w:r>
      <w:r w:rsidR="00C2692F" w:rsidRPr="003318B3">
        <w:rPr>
          <w:i/>
          <w:iCs/>
          <w:lang w:val="en-GB"/>
        </w:rPr>
        <w:t xml:space="preserve"> Annu. Conf. Magnetics</w:t>
      </w:r>
      <w:r w:rsidR="00C2692F" w:rsidRPr="003318B3">
        <w:rPr>
          <w:lang w:val="en-GB"/>
        </w:rPr>
        <w:t xml:space="preserve"> Japan, 1982, p. 301].</w:t>
      </w:r>
    </w:p>
    <w:p w:rsidR="00C2692F" w:rsidRPr="003318B3" w:rsidRDefault="00C2692F">
      <w:pPr>
        <w:pStyle w:val="References"/>
        <w:numPr>
          <w:ilvl w:val="0"/>
          <w:numId w:val="19"/>
        </w:numPr>
        <w:rPr>
          <w:lang w:val="en-GB"/>
        </w:rPr>
      </w:pPr>
      <w:r w:rsidRPr="003318B3">
        <w:rPr>
          <w:lang w:val="en-GB"/>
        </w:rPr>
        <w:t xml:space="preserve">M. Young, </w:t>
      </w:r>
      <w:r w:rsidRPr="003318B3">
        <w:rPr>
          <w:i/>
          <w:iCs/>
          <w:lang w:val="en-GB"/>
        </w:rPr>
        <w:t>The Techincal Writers Handbook.</w:t>
      </w:r>
      <w:r w:rsidRPr="003318B3">
        <w:rPr>
          <w:lang w:val="en-GB"/>
        </w:rPr>
        <w:t xml:space="preserve">  Mill Valley, CA: University Science, 1989.</w:t>
      </w:r>
    </w:p>
    <w:p w:rsidR="00C2692F" w:rsidRPr="003318B3" w:rsidRDefault="00C2692F">
      <w:pPr>
        <w:numPr>
          <w:ilvl w:val="0"/>
          <w:numId w:val="19"/>
        </w:numPr>
        <w:rPr>
          <w:sz w:val="16"/>
          <w:szCs w:val="16"/>
          <w:lang w:val="en-GB"/>
        </w:rPr>
      </w:pPr>
      <w:r w:rsidRPr="003318B3">
        <w:rPr>
          <w:sz w:val="16"/>
          <w:szCs w:val="16"/>
          <w:lang w:val="en-GB"/>
        </w:rPr>
        <w:t xml:space="preserve">J. U. Duncombe, “Infrared navigation—Part I: An assessment of feasibility (Periodical style),” </w:t>
      </w:r>
      <w:r w:rsidRPr="003318B3">
        <w:rPr>
          <w:i/>
          <w:iCs/>
          <w:sz w:val="16"/>
          <w:szCs w:val="16"/>
          <w:lang w:val="en-GB"/>
        </w:rPr>
        <w:t>IEEE Trans. Electron Devices</w:t>
      </w:r>
      <w:r w:rsidRPr="003318B3">
        <w:rPr>
          <w:sz w:val="16"/>
          <w:szCs w:val="16"/>
          <w:lang w:val="en-GB"/>
        </w:rPr>
        <w:t>, vol. ED-11, pp. 34–39, Jan. 1959.</w:t>
      </w:r>
    </w:p>
    <w:p w:rsidR="00C2692F" w:rsidRPr="003318B3" w:rsidRDefault="00C2692F">
      <w:pPr>
        <w:numPr>
          <w:ilvl w:val="0"/>
          <w:numId w:val="19"/>
        </w:numPr>
        <w:rPr>
          <w:sz w:val="16"/>
          <w:szCs w:val="16"/>
          <w:lang w:val="en-GB"/>
        </w:rPr>
      </w:pPr>
      <w:r w:rsidRPr="003318B3">
        <w:rPr>
          <w:sz w:val="16"/>
          <w:szCs w:val="16"/>
          <w:lang w:val="en-GB"/>
        </w:rPr>
        <w:tab/>
        <w:t xml:space="preserve">S. Chen, B. Mulgrew, and P. M. Grant, “A clustering technique for digital communications channel equalization using radial basis function networks,” </w:t>
      </w:r>
      <w:r w:rsidRPr="003318B3">
        <w:rPr>
          <w:i/>
          <w:iCs/>
          <w:sz w:val="16"/>
          <w:szCs w:val="16"/>
          <w:lang w:val="en-GB"/>
        </w:rPr>
        <w:t>IEEE Trans. Neural Networks</w:t>
      </w:r>
      <w:r w:rsidRPr="003318B3">
        <w:rPr>
          <w:sz w:val="16"/>
          <w:szCs w:val="16"/>
          <w:lang w:val="en-GB"/>
        </w:rPr>
        <w:t>, vol. 4, pp. 570–578, July 1993.</w:t>
      </w:r>
    </w:p>
    <w:p w:rsidR="00C2692F" w:rsidRPr="003318B3" w:rsidRDefault="00C2692F">
      <w:pPr>
        <w:numPr>
          <w:ilvl w:val="0"/>
          <w:numId w:val="19"/>
        </w:numPr>
        <w:rPr>
          <w:sz w:val="16"/>
          <w:szCs w:val="16"/>
          <w:lang w:val="en-GB"/>
        </w:rPr>
      </w:pPr>
      <w:r w:rsidRPr="003318B3">
        <w:rPr>
          <w:sz w:val="16"/>
          <w:szCs w:val="16"/>
          <w:lang w:val="en-GB"/>
        </w:rPr>
        <w:lastRenderedPageBreak/>
        <w:t xml:space="preserve">R. W. Lucky, “Automatic equalization for digital communication,” </w:t>
      </w:r>
      <w:r w:rsidRPr="003318B3">
        <w:rPr>
          <w:i/>
          <w:iCs/>
          <w:sz w:val="16"/>
          <w:szCs w:val="16"/>
          <w:lang w:val="en-GB"/>
        </w:rPr>
        <w:t>Bell Syst. Tech. J.</w:t>
      </w:r>
      <w:r w:rsidRPr="003318B3">
        <w:rPr>
          <w:sz w:val="16"/>
          <w:szCs w:val="16"/>
          <w:lang w:val="en-GB"/>
        </w:rPr>
        <w:t>, vol. 44, no. 4, pp. 547–588, Apr. 1965.</w:t>
      </w:r>
    </w:p>
    <w:p w:rsidR="00C2692F" w:rsidRPr="003318B3" w:rsidRDefault="00C2692F">
      <w:pPr>
        <w:numPr>
          <w:ilvl w:val="0"/>
          <w:numId w:val="19"/>
        </w:numPr>
        <w:rPr>
          <w:sz w:val="16"/>
          <w:szCs w:val="16"/>
          <w:lang w:val="en-GB"/>
        </w:rPr>
      </w:pPr>
      <w:r w:rsidRPr="003318B3">
        <w:rPr>
          <w:sz w:val="16"/>
          <w:szCs w:val="16"/>
          <w:lang w:val="en-GB"/>
        </w:rPr>
        <w:t xml:space="preserve">S. P. Bingulac, “On the compatibility of adaptive controllers (Published Conference Proceedings style),” in </w:t>
      </w:r>
      <w:r w:rsidRPr="003318B3">
        <w:rPr>
          <w:i/>
          <w:iCs/>
          <w:sz w:val="16"/>
          <w:szCs w:val="16"/>
          <w:lang w:val="en-GB"/>
        </w:rPr>
        <w:t>Proc. 4th Annu. Allerton Conf. Circuits and Systems Theory</w:t>
      </w:r>
      <w:r w:rsidRPr="003318B3">
        <w:rPr>
          <w:sz w:val="16"/>
          <w:szCs w:val="16"/>
          <w:lang w:val="en-GB"/>
        </w:rPr>
        <w:t>, New York, 1994, pp. 8–16.</w:t>
      </w:r>
    </w:p>
    <w:p w:rsidR="00C2692F" w:rsidRPr="003318B3" w:rsidRDefault="00C2692F">
      <w:pPr>
        <w:numPr>
          <w:ilvl w:val="0"/>
          <w:numId w:val="19"/>
        </w:numPr>
        <w:rPr>
          <w:sz w:val="16"/>
          <w:szCs w:val="16"/>
          <w:lang w:val="en-GB"/>
        </w:rPr>
      </w:pPr>
      <w:r w:rsidRPr="003318B3">
        <w:rPr>
          <w:sz w:val="16"/>
          <w:szCs w:val="16"/>
          <w:lang w:val="en-GB"/>
        </w:rPr>
        <w:t xml:space="preserve">G. R. Faulhaber, “Design of service systems with priority reservation,” in </w:t>
      </w:r>
      <w:r w:rsidRPr="003318B3">
        <w:rPr>
          <w:i/>
          <w:iCs/>
          <w:sz w:val="16"/>
          <w:szCs w:val="16"/>
          <w:lang w:val="en-GB"/>
        </w:rPr>
        <w:t>Conf. Rec. 1995 IEEE Int. Conf. Communications,</w:t>
      </w:r>
      <w:r w:rsidRPr="003318B3">
        <w:rPr>
          <w:sz w:val="16"/>
          <w:szCs w:val="16"/>
          <w:lang w:val="en-GB"/>
        </w:rPr>
        <w:t xml:space="preserve"> pp. 3–8.</w:t>
      </w:r>
    </w:p>
    <w:p w:rsidR="00C2692F" w:rsidRPr="003318B3" w:rsidRDefault="00C2692F">
      <w:pPr>
        <w:numPr>
          <w:ilvl w:val="0"/>
          <w:numId w:val="19"/>
        </w:numPr>
        <w:rPr>
          <w:sz w:val="16"/>
          <w:szCs w:val="16"/>
          <w:lang w:val="en-GB"/>
        </w:rPr>
      </w:pPr>
      <w:r w:rsidRPr="003318B3">
        <w:rPr>
          <w:sz w:val="16"/>
          <w:szCs w:val="16"/>
          <w:lang w:val="en-GB"/>
        </w:rPr>
        <w:t xml:space="preserve">W. D. Doyle, “Magnetization reversal in films with biaxial anisotropy,” in </w:t>
      </w:r>
      <w:r w:rsidRPr="003318B3">
        <w:rPr>
          <w:i/>
          <w:iCs/>
          <w:sz w:val="16"/>
          <w:szCs w:val="16"/>
          <w:lang w:val="en-GB"/>
        </w:rPr>
        <w:t>1987 Proc. INTERMAG Conf.</w:t>
      </w:r>
      <w:r w:rsidRPr="003318B3">
        <w:rPr>
          <w:sz w:val="16"/>
          <w:szCs w:val="16"/>
          <w:lang w:val="en-GB"/>
        </w:rPr>
        <w:t>, pp. 2.2-1–2.2-6.</w:t>
      </w:r>
    </w:p>
    <w:p w:rsidR="00C2692F" w:rsidRPr="003318B3" w:rsidRDefault="00C2692F">
      <w:pPr>
        <w:numPr>
          <w:ilvl w:val="0"/>
          <w:numId w:val="19"/>
        </w:numPr>
        <w:rPr>
          <w:lang w:val="en-GB"/>
        </w:rPr>
      </w:pPr>
      <w:r w:rsidRPr="003318B3">
        <w:rPr>
          <w:sz w:val="16"/>
          <w:szCs w:val="16"/>
          <w:lang w:val="en-GB"/>
        </w:rPr>
        <w:t>G. W. Juette and L. E. Zeffanella, “Radio noise currents n short sections on bundle conductors (Presented Conference Paper style),” presented at the IEEE Summer power Meeting, Dallas, TX, June 22–27, 1990, Paper 90 SM 690-0 PWRS.</w:t>
      </w:r>
    </w:p>
    <w:p w:rsidR="00C2692F" w:rsidRPr="003318B3" w:rsidRDefault="00C2692F">
      <w:pPr>
        <w:pStyle w:val="References"/>
        <w:numPr>
          <w:ilvl w:val="0"/>
          <w:numId w:val="19"/>
        </w:numPr>
        <w:rPr>
          <w:lang w:val="en-GB"/>
        </w:rPr>
      </w:pPr>
      <w:r w:rsidRPr="003318B3">
        <w:rPr>
          <w:lang w:val="en-GB"/>
        </w:rPr>
        <w:t>J. G. Kreifeldt, “An analysis of surface-detected EMG as an amplitude-modulated noise,” presented at the 1989 Int. Conf. Medicine and Biological Engineering, Chicago, IL.</w:t>
      </w:r>
    </w:p>
    <w:p w:rsidR="00C2692F" w:rsidRPr="003318B3" w:rsidRDefault="00C2692F">
      <w:pPr>
        <w:pStyle w:val="References"/>
        <w:numPr>
          <w:ilvl w:val="0"/>
          <w:numId w:val="19"/>
        </w:numPr>
        <w:rPr>
          <w:lang w:val="en-GB"/>
        </w:rPr>
      </w:pPr>
      <w:r w:rsidRPr="003318B3">
        <w:rPr>
          <w:lang w:val="en-GB"/>
        </w:rPr>
        <w:t xml:space="preserve">J. Williams, “Narrow-band analyzer (Thesis or Dissertation style),” Ph.D. dissertation, Dept. Elect. Eng., Harvard Univ., Cambridge, MA, 1993. </w:t>
      </w:r>
    </w:p>
    <w:p w:rsidR="00C2692F" w:rsidRPr="003318B3" w:rsidRDefault="00C2692F">
      <w:pPr>
        <w:pStyle w:val="References"/>
        <w:numPr>
          <w:ilvl w:val="0"/>
          <w:numId w:val="19"/>
        </w:numPr>
        <w:rPr>
          <w:lang w:val="en-GB"/>
        </w:rPr>
      </w:pPr>
      <w:r w:rsidRPr="003318B3">
        <w:rPr>
          <w:lang w:val="en-GB"/>
        </w:rPr>
        <w:t>N. Kawasaki, “Parametric study of thermal and chemical nonequilibrium nozzle flow,” M.S. thesis, Dept. Electron. Eng., Osaka Univ., Osaka, Japan, 1993.</w:t>
      </w:r>
    </w:p>
    <w:p w:rsidR="00C2692F" w:rsidRPr="003318B3" w:rsidRDefault="00C2692F">
      <w:pPr>
        <w:pStyle w:val="References"/>
        <w:numPr>
          <w:ilvl w:val="0"/>
          <w:numId w:val="19"/>
        </w:numPr>
        <w:rPr>
          <w:lang w:val="en-GB"/>
        </w:rPr>
      </w:pPr>
      <w:r w:rsidRPr="003318B3">
        <w:rPr>
          <w:lang w:val="en-GB"/>
        </w:rPr>
        <w:t xml:space="preserve">J. P. Wilkinson, “Nonlinear resonant circuit devices (Patent style),” U.S. Patent 3 624 12, July 16, 1990. </w:t>
      </w:r>
    </w:p>
    <w:p w:rsidR="00C2692F" w:rsidRPr="003318B3" w:rsidRDefault="00C2692F" w:rsidP="00C2692F">
      <w:pPr>
        <w:pStyle w:val="References"/>
        <w:numPr>
          <w:ilvl w:val="0"/>
          <w:numId w:val="0"/>
        </w:numPr>
        <w:rPr>
          <w:lang w:val="en-GB"/>
        </w:rPr>
      </w:pPr>
    </w:p>
    <w:sectPr w:rsidR="00C2692F" w:rsidRPr="003318B3" w:rsidSect="00EB5603">
      <w:headerReference w:type="default" r:id="rId10"/>
      <w:pgSz w:w="11894" w:h="16834" w:code="1"/>
      <w:pgMar w:top="1418"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3B8" w:rsidRDefault="001C53B8">
      <w:r>
        <w:separator/>
      </w:r>
    </w:p>
  </w:endnote>
  <w:endnote w:type="continuationSeparator" w:id="0">
    <w:p w:rsidR="001C53B8" w:rsidRDefault="001C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3B8" w:rsidRDefault="001C53B8"/>
  </w:footnote>
  <w:footnote w:type="continuationSeparator" w:id="0">
    <w:p w:rsidR="001C53B8" w:rsidRDefault="001C5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18B3"/>
    <w:rsid w:val="001355C1"/>
    <w:rsid w:val="001C53B8"/>
    <w:rsid w:val="002A2B59"/>
    <w:rsid w:val="003318B3"/>
    <w:rsid w:val="00337F66"/>
    <w:rsid w:val="005861DA"/>
    <w:rsid w:val="007531D3"/>
    <w:rsid w:val="007E12F0"/>
    <w:rsid w:val="00A4621F"/>
    <w:rsid w:val="00B62630"/>
    <w:rsid w:val="00C2692F"/>
    <w:rsid w:val="00CC33F5"/>
    <w:rsid w:val="00D32D6A"/>
    <w:rsid w:val="00EB560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364323"/>
  <w15:chartTrackingRefBased/>
  <w15:docId w15:val="{6CD718CA-E13F-499B-826D-6E6B1FB3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Caption">
    <w:name w:val="caption"/>
    <w:basedOn w:val="Normal"/>
    <w:next w:val="Normal"/>
    <w:unhideWhenUsed/>
    <w:qFormat/>
    <w:rsid w:val="007531D3"/>
    <w:rPr>
      <w:b/>
      <w:bCs/>
    </w:rPr>
  </w:style>
  <w:style w:type="character" w:styleId="EndnoteReference">
    <w:name w:val="endnote reference"/>
    <w:rsid w:val="00EB5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cuments\&#353;kola\Imperial\predictive%20control\assignment%205\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25A2D-D094-4133-9486-423E15C6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83</TotalTime>
  <Pages>5</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Martin Opatovsky</dc:creator>
  <cp:keywords/>
  <dc:description/>
  <cp:lastModifiedBy>Martin Opatovsky</cp:lastModifiedBy>
  <cp:revision>3</cp:revision>
  <cp:lastPrinted>2012-01-31T00:17:00Z</cp:lastPrinted>
  <dcterms:created xsi:type="dcterms:W3CDTF">2017-03-18T20:17:00Z</dcterms:created>
  <dcterms:modified xsi:type="dcterms:W3CDTF">2017-03-19T22:40:00Z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ca26ad7a-11d8-31f3-b5ee-8a882f2d0353</vt:lpwstr>
  </property>
  <property fmtid="{D5CDD505-2E9C-101B-9397-08002B2CF9AE}" pid="24" name="Mendeley Citation Style_1">
    <vt:lpwstr>http://www.zotero.org/styles/ieee</vt:lpwstr>
  </property>
</Properties>
</file>