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Värdeutlåtande — BR Brf Exempel</w:t>
      </w:r>
    </w:p>
    <w:p>
      <w:r>
        <w:rPr>
          <w:b/>
        </w:rPr>
        <w:t xml:space="preserve">Objekt: </w:t>
      </w:r>
      <w:r>
        <w:t>LGH 1001 Brf Exempel (769600-0000)</w:t>
      </w:r>
    </w:p>
    <w:p>
      <w:r>
        <w:rPr>
          <w:b/>
        </w:rPr>
        <w:t xml:space="preserve">Adress: </w:t>
      </w:r>
      <w:r>
        <w:t>Exempelgatan 1, 123 45 Nynäshamn</w:t>
      </w:r>
    </w:p>
    <w:p>
      <w:r>
        <w:rPr>
          <w:b/>
        </w:rPr>
        <w:t xml:space="preserve">Marknadsvärde: </w:t>
      </w:r>
      <w:r>
        <w:t>3 050 000 kr (± 50 000 kr)</w:t>
      </w:r>
    </w:p>
    <w:p>
      <w:pPr>
        <w:rPr>
          <w:highlight w:val="yellow"/>
        </w:rPr>
      </w:pPr>
      <w:r>
        <w:t>Nynäshamn, 2026-06-21 — Jenny Wiklund, Auktoriserad mäklare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