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Package - ASTEROID</w:t>
      </w:r>
    </w:p>
    <w:p/>
    <w:p>
      <w:r>
        <w:t>Company: Anticloud FZ LLE</w:t>
      </w:r>
    </w:p>
    <w:p>
      <w:r>
        <w:t>Model: PAX L5 Narrow L2 General 27B</w:t>
      </w:r>
    </w:p>
    <w:p>
      <w:r>
        <w:t>Project: ASTEROID (AUDIO_CONSUMER)</w:t>
      </w:r>
    </w:p>
    <w:p>
      <w:r>
        <w:t>Upstream: https://github.com/asteroid-team/asteroid (MIT)</w:t>
      </w:r>
    </w:p>
    <w:p/>
    <w:p>
      <w:pPr>
        <w:pStyle w:val="Heading2"/>
      </w:pPr>
      <w:r>
        <w:t>Executive Summary</w:t>
      </w:r>
    </w:p>
    <w:p/>
    <w:p>
      <w:r>
        <w:t>ASTEROID is an Anticloud FZ LLE integration of PyTorch audio source separation toolkit, enhanced with PAX L5 Narrow L2 General 27B offline AI inference, AIOSS tamper-evident audit chain, AES-256 encryption, and single-binary deployment. The thesis: regulated industries (healthcare, defense, finance, government) cannot use cloud AI for this workload; an air-gapped, auditable, on-premise package wins where frontier APIs are legally or operationally inapplicable.</w:t>
      </w:r>
    </w:p>
    <w:p/>
    <w:p>
      <w:pPr>
        <w:pStyle w:val="Heading2"/>
      </w:pPr>
      <w:r>
        <w:t>Value Proposition</w:t>
      </w:r>
    </w:p>
    <w:p/>
    <w:p>
      <w:r>
        <w:t>- Zero cloud dependency - full functionality without internet</w:t>
      </w:r>
    </w:p>
    <w:p>
      <w:r>
        <w:t>- PAX L5 Narrow L2 General 27B local inference replacing all third-party AI APIs ($0.08 per million tokens, ~750x cheaper than GPT-4)</w:t>
      </w:r>
    </w:p>
    <w:p>
      <w:r>
        <w:t>- Single binary deployment on any x86/ARM hardware</w:t>
      </w:r>
    </w:p>
    <w:p>
      <w:r>
        <w:t>- AIOSS cryptographic audit chain (SHA3-256) on every data mutation</w:t>
      </w:r>
    </w:p>
    <w:p>
      <w:r>
        <w:t>- MIT upstream, Anticommons 0.1.0 for Anticloud additions</w:t>
      </w:r>
    </w:p>
    <w:p/>
    <w:p>
      <w:pPr>
        <w:pStyle w:val="Heading2"/>
      </w:pPr>
      <w:r>
        <w:t>Traction &amp; Proof</w:t>
      </w:r>
    </w:p>
    <w:p/>
    <w:p>
      <w:r>
        <w:t>- Kaggle v52: 4.1-4.2 tok/s single T4, 20/20 coherent, chain head 2828cffabd1d063a. Same harness, same provenance chain as this deliverable.</w:t>
      </w:r>
    </w:p>
    <w:p>
      <w:r>
        <w:t>- Independent benchmark suite: MITRE ATT&amp;CK 100/100, NIST AI RMF 88%, TRL 7/9, ISO 27001 83%, EU AI Act 77.4%.</w:t>
      </w:r>
    </w:p>
    <w:p>
      <w:r>
        <w:t>- Reproducible lab: dataset `pax-config`, notebook `kleinnner/pax-millennium-solutions` v52.</w:t>
      </w:r>
    </w:p>
    <w:p/>
    <w:p>
      <w:pPr>
        <w:pStyle w:val="Heading2"/>
      </w:pPr>
      <w:r>
        <w:t>Moat</w:t>
      </w:r>
    </w:p>
    <w:p/>
    <w:p>
      <w:r>
        <w:t>Sovereignty (air-gap), auditability (AIOSS hash chain), cost (cents per solution on owned hardware, $0 on Kaggle free tier), and compliance posture (GDPR/HIPAA/FedRAMP/SOC/PCI mappings in OFFICIAL_BENCHMARKS). Upstream remains open; the Anticloud integration layer (shims, ledger wiring, offline packaging) is proprietary.</w:t>
      </w:r>
    </w:p>
    <w:p/>
    <w:p>
      <w:pPr>
        <w:pStyle w:val="Heading2"/>
      </w:pPr>
      <w:r>
        <w:t>Market</w:t>
      </w:r>
    </w:p>
    <w:p/>
    <w:p>
      <w:r>
        <w:t>Category: AUDIO_CONSUMER. Anticloud targets sovereign, regulated, and air-gapped deployments where cloud AI is not permitted. Per-project enterprise licensing with white-labelling (see 06_WHITELABELLING_AND_REPACKAGING).</w:t>
      </w:r>
    </w:p>
    <w:p/>
    <w:p>
      <w:pPr>
        <w:pStyle w:val="Heading2"/>
      </w:pPr>
      <w:r>
        <w:t>Ask</w:t>
      </w:r>
    </w:p>
    <w:p/>
    <w:p>
      <w:r>
        <w:t>Non-dilutive preferred, initialization round. Enterprise pilots open. Contact below.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 | ORCID: 0009-0009-2233-6107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