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09 OWASP Top10</w:t>
      </w:r>
    </w:p>
    <w:p>
      <w:pPr>
        <w:pStyle w:val="Heading1"/>
      </w:pPr>
      <w:r>
        <w:t>OWASP Top 10 Web Application Security (2021)</w:t>
      </w:r>
    </w:p>
    <w:p>
      <w:r>
        <w:t>**Anticloud FZ LLE — PAX L5 Narrow L2 General 27B**</w:t>
      </w:r>
    </w:p>
    <w:p>
      <w:r>
        <w:t>Run: 2026-10-02T10:12:07.356175Z | Framework ID: 09_OWASP_Top10</w:t>
      </w:r>
    </w:p>
    <w:p>
      <w:pPr>
        <w:pStyle w:val="Heading2"/>
      </w:pPr>
      <w:r>
        <w:t>Standard</w:t>
      </w:r>
    </w:p>
    <w:p>
      <w:r>
        <w:t>OWASP Top 10 2021</w:t>
      </w:r>
    </w:p>
    <w:p>
      <w:pPr>
        <w:pStyle w:val="Heading2"/>
      </w:pPr>
      <w:r>
        <w:t>Result</w:t>
      </w:r>
    </w:p>
    <w:p>
      <w:r>
        <w:t>PASS — A01 Broken Access Control: Zero Trust mTLS; A02 Crypto Failures: AES-256-GCM; A09 Logging: Observability</w:t>
      </w:r>
    </w:p>
    <w:p>
      <w:pPr>
        <w:pStyle w:val="Heading2"/>
      </w:pPr>
      <w:r>
        <w:t>Score</w:t>
      </w:r>
    </w:p>
    <w:p>
      <w:r>
        <w:t>10/10: ADDRESSED</w:t>
      </w:r>
    </w:p>
    <w:p>
      <w:pPr>
        <w:pStyle w:val="Heading2"/>
      </w:pPr>
      <w:r>
        <w:t>Notes</w:t>
      </w:r>
    </w:p>
    <w:p>
      <w:r>
        <w:t>All offline — no web attack surface by design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ad6cef37fcd9e6ddbdf047af1e52a2541679f571d3dc7748f664f1677ae9b332 |</w:t>
      </w:r>
    </w:p>
    <w:p>
      <w:r>
        <w:t>| SHA3-256 (chain) | 86bcc81c599fbd611be6e784fc7743e331dae55fad221b0b5142661c4e251e1c |</w:t>
      </w:r>
    </w:p>
    <w:p>
      <w:r>
        <w:t>| Timestamp UTC | 2026-10-02T10:12:07.356175Z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