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 FISMA</w:t>
      </w:r>
    </w:p>
    <w:p>
      <w:pPr>
        <w:pStyle w:val="Heading1"/>
      </w:pPr>
      <w:r>
        <w:t>FISMA 2014 (Federal Information Security Modernization Act)</w:t>
      </w:r>
    </w:p>
    <w:p>
      <w:r>
        <w:t>**Anticloud FZ LLE — PAX L5 Narrow L2 General 27B**</w:t>
      </w:r>
    </w:p>
    <w:p>
      <w:r>
        <w:t>Run: 2026-10-02T10:12:07.902025Z | Framework ID: 13_FISMA</w:t>
      </w:r>
    </w:p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7e6bc72ae3c53e077c06b6c47f807cbd7143b83cea805ab17e862db101fe38d7 |</w:t>
      </w:r>
    </w:p>
    <w:p>
      <w:r>
        <w:t>| SHA3-256 (chain) | 95d06dfa104ec8614fa9fdd8f532d170e22dbc403b80426085bebee03128ba0d |</w:t>
      </w:r>
    </w:p>
    <w:p>
      <w:r>
        <w:t>| Timestamp UTC | 2026-10-02T10:12:07.902025Z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