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19 Sox Itgc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SOX IT General Controls (Section 404)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2026-10-02T09:25:23.664057Z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19_SOX_ITGC</w:t>
            </w:r>
          </w:p>
        </w:tc>
      </w:tr>
    </w:tbl>
    <w:p>
      <w:pPr>
        <w:pStyle w:val="Heading2"/>
      </w:pPr>
      <w:r>
        <w:t>Standard</w:t>
      </w:r>
    </w:p>
    <w:p>
      <w:r>
        <w:t>Sarbanes-Oxley Act 2002, Section 404, PCAOB AS 2201</w:t>
      </w:r>
    </w:p>
    <w:p>
      <w:pPr>
        <w:pStyle w:val="Heading2"/>
      </w:pPr>
      <w:r>
        <w:t>Result</w:t>
      </w:r>
    </w:p>
    <w:p>
      <w:r>
        <w:t>PASS — Change Management, Access Controls, Computer Operations, Program Development all covered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immutable ledger provides SOX-compliant audit trail; Provenance chain covers change management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3b06e15420064c27f945f6e81fbb0fb628e7d4f4830fe05fde648a7f266ec471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c48788f01bdc60e621e9388167213bf3d9f5324e54f707a3605ebbe307004fe0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2026-10-02T09:25:23.664057Z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