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13 FISMA</w:t>
      </w:r>
    </w:p>
    <w:p>
      <w:pPr>
        <w:pStyle w:val="Heading1"/>
      </w:pPr>
      <w:r>
        <w:t>FISMA 2014 (Federal Information Security Modernization Act)</w:t>
      </w:r>
    </w:p>
    <w:p>
      <w:r>
        <w:t>**Anticloud FZ LLE — PAX L5 Narrow L2 General 27B**</w:t>
      </w:r>
    </w:p>
    <w:p>
      <w:r>
        <w:t>Run: 2026-10-02T09:59:39.411698Z | Framework ID: 13_FISMA</w:t>
      </w:r>
    </w:p>
    <w:p>
      <w:pPr>
        <w:pStyle w:val="Heading2"/>
      </w:pPr>
      <w:r>
        <w:t>Standard</w:t>
      </w:r>
    </w:p>
    <w:p>
      <w:r>
        <w:t>FISMA 2014, OMB Circular A-130</w:t>
      </w:r>
    </w:p>
    <w:p>
      <w:pPr>
        <w:pStyle w:val="Heading2"/>
      </w:pPr>
      <w:r>
        <w:t>Result</w:t>
      </w:r>
    </w:p>
    <w:p>
      <w:r>
        <w:t>PASS — HIGH impact system; continuous monitoring via Observability module</w:t>
      </w:r>
    </w:p>
    <w:p>
      <w:pPr>
        <w:pStyle w:val="Heading2"/>
      </w:pPr>
      <w:r>
        <w:t>Score</w:t>
      </w:r>
    </w:p>
    <w:p>
      <w:r>
        <w:t>HIGH impact: AUTHORIZED</w:t>
      </w:r>
    </w:p>
    <w:p>
      <w:pPr>
        <w:pStyle w:val="Heading2"/>
      </w:pPr>
      <w:r>
        <w:t>Notes</w:t>
      </w:r>
    </w:p>
    <w:p>
      <w:r>
        <w:t>AIOSS append-only chain provides FISMA-compliant continuous monitoring evidence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7e6bc72ae3c53e077c06b6c47f807cbd7143b83cea805ab17e862db101fe38d7 |</w:t>
      </w:r>
    </w:p>
    <w:p>
      <w:r>
        <w:t>| SHA3-256 (chain) | e648ae8d8689dbd49874dbe8de1ebff6baa6dbcefbee3f017911ae917ae9bd54 |</w:t>
      </w:r>
    </w:p>
    <w:p>
      <w:r>
        <w:t>| Timestamp UTC | 2026-10-02T09:59:39.411698Z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