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26 TRL ML</w:t>
      </w:r>
    </w:p>
    <w:p>
      <w:pPr>
        <w:pStyle w:val="Heading1"/>
      </w:pPr>
      <w:r>
        <w:t>Technology Readiness Level for ML (TRL-ML, Lavin et al. 2022)</w:t>
      </w:r>
    </w:p>
    <w:p>
      <w:r>
        <w:t>**Anticloud FZ LLE — PAX L5 Narrow L2 General 27B**</w:t>
      </w:r>
    </w:p>
    <w:p>
      <w:r>
        <w:t>Run: 2026-10-02T09:32:34.409142Z | Framework ID: 26_TRL_ML</w:t>
      </w:r>
    </w:p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95b938429592963aa8ee3339493d48e01bb3f79c8f84dcfeb832008617b306ff |</w:t>
      </w:r>
    </w:p>
    <w:p>
      <w:r>
        <w:t>| SHA3-256 (chain) | c3648bf82ba8c1318b48ab80ad1725f2d177bf2eafa6e27e38b5164ef8c4dbc7 |</w:t>
      </w:r>
    </w:p>
    <w:p>
      <w:r>
        <w:t>| Timestamp UTC | 2026-10-02T09:32:34.409142Z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