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18 DORA</w:t>
      </w:r>
    </w:p>
    <w:p>
      <w:pPr>
        <w:pStyle w:val="Heading1"/>
      </w:pPr>
      <w:r>
        <w:t>DORA (EU Digital Operational Resilience Act) 2022/2554</w:t>
      </w:r>
    </w:p>
    <w:p>
      <w:r>
        <w:t>**Anticloud FZ LLE — PAX L5 Narrow L2 General 27B**</w:t>
      </w:r>
    </w:p>
    <w:p>
      <w:r>
        <w:t>Run: 2026-10-02T11:21:43.084617Z | Framework ID: 18_DORA</w:t>
      </w:r>
    </w:p>
    <w:p>
      <w:pPr>
        <w:pStyle w:val="Heading2"/>
      </w:pPr>
      <w:r>
        <w:t>Standard</w:t>
      </w:r>
    </w:p>
    <w:p>
      <w:r>
        <w:t>DORA Regulation (EU) 2022/2554, RTS (2024)</w:t>
      </w:r>
    </w:p>
    <w:p>
      <w:pPr>
        <w:pStyle w:val="Heading2"/>
      </w:pPr>
      <w:r>
        <w:t>Result</w:t>
      </w:r>
    </w:p>
    <w:p>
      <w:r>
        <w:t>PASS — Art. 9 (ICT Security), Art. 10 (Detection), Art. 11 (Recovery), Art. 12 (Backup)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CRDT convergence satisfies Art. 12 recovery; Observability satisfies Art. 10 detection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11e0f438bc3381c061d3d029bc3552f3c1b2901509fd611d6501cd620872269b |</w:t>
      </w:r>
    </w:p>
    <w:p>
      <w:r>
        <w:t>| SHA3-256 (chain) | 9cd023c48ab7d9bc70de18d601a65c52d188668bbc6ca843052c38f896ecd782 |</w:t>
      </w:r>
    </w:p>
    <w:p>
      <w:r>
        <w:t>| Timestamp UTC | 2026-10-02T11:21:43.084617Z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