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16 HITRUST CSF</w:t>
      </w:r>
    </w:p>
    <w:p>
      <w:pPr>
        <w:pStyle w:val="Heading1"/>
      </w:pPr>
      <w:r>
        <w:t>HITRUST CSF v11.3 (Health Information Trust Alliance)</w:t>
      </w:r>
    </w:p>
    <w:p>
      <w:r>
        <w:t>**Anticloud FZ LLE — PAX L5 Narrow L2 General 27B**</w:t>
      </w:r>
    </w:p>
    <w:p>
      <w:r>
        <w:t>Run: 2026-10-02T10:16:19.102900Z | Framework ID: 16_HITRUST_CSF</w:t>
      </w:r>
    </w:p>
    <w:p>
      <w:pPr>
        <w:pStyle w:val="Heading2"/>
      </w:pPr>
      <w:r>
        <w:t>Standard</w:t>
      </w:r>
    </w:p>
    <w:p>
      <w:r>
        <w:t>HITRUST CSF v11.3 (2024)</w:t>
      </w:r>
    </w:p>
    <w:p>
      <w:pPr>
        <w:pStyle w:val="Heading2"/>
      </w:pPr>
      <w:r>
        <w:t>Result</w:t>
      </w:r>
    </w:p>
    <w:p>
      <w:r>
        <w:t>PASS — 49 control categories; encryption, access control, audit, incident response addressed</w:t>
      </w:r>
    </w:p>
    <w:p>
      <w:pPr>
        <w:pStyle w:val="Heading2"/>
      </w:pPr>
      <w:r>
        <w:t>Score</w:t>
      </w:r>
    </w:p>
    <w:p>
      <w:r>
        <w:t>e1 Assessment: PASS</w:t>
      </w:r>
    </w:p>
    <w:p>
      <w:pPr>
        <w:pStyle w:val="Heading2"/>
      </w:pPr>
      <w:r>
        <w:t>Notes</w:t>
      </w:r>
    </w:p>
    <w:p>
      <w:r>
        <w:t>Maps to HIPAA + ISO 27001 + NIST SP 800-53 simultaneously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24d03b0cc9c9ca0ea36e744df8311d78b2307f0f8c48182e6133895a54645b82 |</w:t>
      </w:r>
    </w:p>
    <w:p>
      <w:r>
        <w:t>| SHA3-256 (chain) | 755653510be6d9b352bb9dafac1656dba1b40d16728ff89a23a3fa5d168d2a12 |</w:t>
      </w:r>
    </w:p>
    <w:p>
      <w:r>
        <w:t>| Timestamp UTC | 2026-10-02T10:16:19.102900Z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