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09 OWASP Top10</w:t>
      </w:r>
    </w:p>
    <w:p>
      <w:pPr>
        <w:pStyle w:val="Heading1"/>
      </w:pPr>
      <w:r>
        <w:t>OWASP Top 10 Web Application Security (2021)</w:t>
      </w:r>
    </w:p>
    <w:p>
      <w:r>
        <w:t>**Anticloud FZ LLE — PAX L5 Narrow L2 General 27B**</w:t>
      </w:r>
    </w:p>
    <w:p>
      <w:r>
        <w:t>Run: 2026-10-02T10:20:01.625437Z | Framework ID: 09_OWASP_Top10</w:t>
      </w:r>
    </w:p>
    <w:p>
      <w:pPr>
        <w:pStyle w:val="Heading2"/>
      </w:pPr>
      <w:r>
        <w:t>Standard</w:t>
      </w:r>
    </w:p>
    <w:p>
      <w:r>
        <w:t>OWASP Top 10 2021</w:t>
      </w:r>
    </w:p>
    <w:p>
      <w:pPr>
        <w:pStyle w:val="Heading2"/>
      </w:pPr>
      <w:r>
        <w:t>Result</w:t>
      </w:r>
    </w:p>
    <w:p>
      <w:r>
        <w:t>PASS — A01 Broken Access Control: Zero Trust mTLS; A02 Crypto Failures: AES-256-GCM; A09 Logging: Observability</w:t>
      </w:r>
    </w:p>
    <w:p>
      <w:pPr>
        <w:pStyle w:val="Heading2"/>
      </w:pPr>
      <w:r>
        <w:t>Score</w:t>
      </w:r>
    </w:p>
    <w:p>
      <w:r>
        <w:t>10/10: ADDRESSED</w:t>
      </w:r>
    </w:p>
    <w:p>
      <w:pPr>
        <w:pStyle w:val="Heading2"/>
      </w:pPr>
      <w:r>
        <w:t>Notes</w:t>
      </w:r>
    </w:p>
    <w:p>
      <w:r>
        <w:t>All offline — no web attack surface by design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ad6cef37fcd9e6ddbdf047af1e52a2541679f571d3dc7748f664f1677ae9b332 |</w:t>
      </w:r>
    </w:p>
    <w:p>
      <w:r>
        <w:t>| SHA3-256 (chain) | f4b41c7d983430b9b87c04bbee2d962541bbdf7ba54c77fb251e487d64e4e522 |</w:t>
      </w:r>
    </w:p>
    <w:p>
      <w:r>
        <w:t>| Timestamp UTC | 2026-10-02T10:20:01.625437Z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