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19 SOX ITGC</w:t>
      </w:r>
    </w:p>
    <w:p>
      <w:pPr>
        <w:pStyle w:val="Heading1"/>
      </w:pPr>
      <w:r>
        <w:t>SOX IT General Controls (Section 404)</w:t>
      </w:r>
    </w:p>
    <w:p>
      <w:r>
        <w:t>**Anticloud FZ LLE — PAX L5 Narrow L2 General 27B**</w:t>
      </w:r>
    </w:p>
    <w:p>
      <w:r>
        <w:t>Run: 2026-10-02T09:47:31.906175Z | Framework ID: 19_SOX_ITGC</w:t>
      </w:r>
    </w:p>
    <w:p>
      <w:pPr>
        <w:pStyle w:val="Heading2"/>
      </w:pPr>
      <w:r>
        <w:t>Standard</w:t>
      </w:r>
    </w:p>
    <w:p>
      <w:r>
        <w:t>Sarbanes-Oxley Act 2002, Section 404, PCAOB AS 2201</w:t>
      </w:r>
    </w:p>
    <w:p>
      <w:pPr>
        <w:pStyle w:val="Heading2"/>
      </w:pPr>
      <w:r>
        <w:t>Result</w:t>
      </w:r>
    </w:p>
    <w:p>
      <w:r>
        <w:t>PASS — Change Management, Access Controls, Computer Operations, Program Development all covered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immutable ledger provides SOX-compliant audit trail; Provenance chain covers change management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3b06e15420064c27f945f6e81fbb0fb628e7d4f4830fe05fde648a7f266ec471 |</w:t>
      </w:r>
    </w:p>
    <w:p>
      <w:r>
        <w:t>| SHA3-256 (chain) | 7e4251d50d17919342e114e49aa22fd7a3134380eb325abfa32bedd3f30e0084 |</w:t>
      </w:r>
    </w:p>
    <w:p>
      <w:r>
        <w:t>| Timestamp UTC | 2026-10-02T09:47:31.906175Z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