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 FedRAMP</w:t>
      </w:r>
    </w:p>
    <w:p>
      <w:pPr>
        <w:pStyle w:val="Heading1"/>
      </w:pPr>
      <w:r>
        <w:t>FedRAMP Rev5 (High Impact)</w:t>
      </w:r>
    </w:p>
    <w:p>
      <w:r>
        <w:t>**Anticloud FZ LLE — PAX L5 Narrow L2 General 27B**</w:t>
      </w:r>
    </w:p>
    <w:p>
      <w:r>
        <w:t>Run: 2026-10-02T09:33:18.001202Z | Framework ID: 01_FedRAMP</w:t>
      </w:r>
    </w:p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5e4840d5ffc65b380969bb8c8c87ec3cf3b31b64052cc7e5886ecc184cab217c |</w:t>
      </w:r>
    </w:p>
    <w:p>
      <w:r>
        <w:t>| SHA3-256 (chain) | 853ea8807f7afc8976ed5900a8b42e0e3ff9e8fbf55db50dab55f9f06de45e37 |</w:t>
      </w:r>
    </w:p>
    <w:p>
      <w:r>
        <w:t>| Timestamp UTC | 2026-10-02T09:33:18.001202Z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