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16 HITRUST CSF</w:t>
      </w:r>
    </w:p>
    <w:p>
      <w:pPr>
        <w:pStyle w:val="Heading1"/>
      </w:pPr>
      <w:r>
        <w:t>HITRUST CSF v11.3 (Health Information Trust Alliance)</w:t>
      </w:r>
    </w:p>
    <w:p>
      <w:r>
        <w:t>**Anticloud FZ LLE — PAX L5 Narrow L2 General 27B**</w:t>
      </w:r>
    </w:p>
    <w:p>
      <w:r>
        <w:t>Run: 2026-10-02T09:33:20.792501Z | Framework ID: 16_HITRUST_CSF</w:t>
      </w:r>
    </w:p>
    <w:p>
      <w:pPr>
        <w:pStyle w:val="Heading2"/>
      </w:pPr>
      <w:r>
        <w:t>Standard</w:t>
      </w:r>
    </w:p>
    <w:p>
      <w:r>
        <w:t>HITRUST CSF v11.3 (2024)</w:t>
      </w:r>
    </w:p>
    <w:p>
      <w:pPr>
        <w:pStyle w:val="Heading2"/>
      </w:pPr>
      <w:r>
        <w:t>Result</w:t>
      </w:r>
    </w:p>
    <w:p>
      <w:r>
        <w:t>PASS — 49 control categories; encryption, access control, audit, incident response addressed</w:t>
      </w:r>
    </w:p>
    <w:p>
      <w:pPr>
        <w:pStyle w:val="Heading2"/>
      </w:pPr>
      <w:r>
        <w:t>Score</w:t>
      </w:r>
    </w:p>
    <w:p>
      <w:r>
        <w:t>e1 Assessment: PASS</w:t>
      </w:r>
    </w:p>
    <w:p>
      <w:pPr>
        <w:pStyle w:val="Heading2"/>
      </w:pPr>
      <w:r>
        <w:t>Notes</w:t>
      </w:r>
    </w:p>
    <w:p>
      <w:r>
        <w:t>Maps to HIPAA + ISO 27001 + NIST SP 800-53 simultaneously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24d03b0cc9c9ca0ea36e744df8311d78b2307f0f8c48182e6133895a54645b82 |</w:t>
      </w:r>
    </w:p>
    <w:p>
      <w:r>
        <w:t>| SHA3-256 (chain) | b8d6c0072a7cb330b3902ab672943bfe80b5d68982e7c8e8ce101b6ac77db862 |</w:t>
      </w:r>
    </w:p>
    <w:p>
      <w:r>
        <w:t>| Timestamp UTC | 2026-10-02T09:33:20.792501Z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