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18 DORA</w:t>
      </w:r>
    </w:p>
    <w:p>
      <w:pPr>
        <w:pStyle w:val="Heading1"/>
      </w:pPr>
      <w:r>
        <w:t>DORA (EU Digital Operational Resilience Act) 2022/2554</w:t>
      </w:r>
    </w:p>
    <w:p>
      <w:r>
        <w:t>**Anticloud FZ LLE — PAX L5 Narrow L2 General 27B**</w:t>
      </w:r>
    </w:p>
    <w:p>
      <w:r>
        <w:t>Run: 2026-10-02T09:39:11.399133Z | Framework ID: 18_DORA</w:t>
      </w:r>
    </w:p>
    <w:p>
      <w:pPr>
        <w:pStyle w:val="Heading2"/>
      </w:pPr>
      <w:r>
        <w:t>Standard</w:t>
      </w:r>
    </w:p>
    <w:p>
      <w:r>
        <w:t>DORA Regulation (EU) 2022/2554, RTS (2024)</w:t>
      </w:r>
    </w:p>
    <w:p>
      <w:pPr>
        <w:pStyle w:val="Heading2"/>
      </w:pPr>
      <w:r>
        <w:t>Result</w:t>
      </w:r>
    </w:p>
    <w:p>
      <w:r>
        <w:t>PASS — Art. 9 (ICT Security), Art. 10 (Detection), Art. 11 (Recovery), Art. 12 (Backup)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CRDT convergence satisfies Art. 12 recovery; Observability satisfies Art. 10 detection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11e0f438bc3381c061d3d029bc3552f3c1b2901509fd611d6501cd620872269b |</w:t>
      </w:r>
    </w:p>
    <w:p>
      <w:r>
        <w:t>| SHA3-256 (chain) | 86d8fccfbd5f6963f2be875475e52d715659f00f6216bdd0d33c34ef5bb1fb79 |</w:t>
      </w:r>
    </w:p>
    <w:p>
      <w:r>
        <w:t>| Timestamp UTC | 2026-10-02T09:39:11.399133Z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