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 ISO 27001</w:t>
      </w:r>
    </w:p>
    <w:p>
      <w:pPr>
        <w:pStyle w:val="Heading1"/>
      </w:pPr>
      <w:r>
        <w:t>ISO/IEC 27001:2022 + ISO/IEC 42001:2023 (AI ISMS)</w:t>
      </w:r>
    </w:p>
    <w:p>
      <w:r>
        <w:t>**Anticloud FZ LLE — PAX L5 Narrow L2 General 27B**</w:t>
      </w:r>
    </w:p>
    <w:p>
      <w:r>
        <w:t>Run: 2026-10-02T10:17:33.257921Z | Framework ID: 07_ISO_27001</w:t>
      </w:r>
    </w:p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89f0a7de245489546c633d9712fbd849db16a3e3b1e8bc774edd2784a9cdd525 |</w:t>
      </w:r>
    </w:p>
    <w:p>
      <w:r>
        <w:t>| SHA3-256 (chain) | 2da3da5acad99da489edadc122ddfacfb82c26ecfaad004c7a78bec006813e1b |</w:t>
      </w:r>
    </w:p>
    <w:p>
      <w:r>
        <w:t>| Timestamp UTC | 2026-10-02T10:17:33.257921Z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