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02 SOC2 TypeII</w:t>
      </w:r>
    </w:p>
    <w:p>
      <w:pPr>
        <w:pStyle w:val="Heading1"/>
      </w:pPr>
      <w:r>
        <w:t>SOC 2 Type II (AICPA TSC 2017)</w:t>
      </w:r>
    </w:p>
    <w:p>
      <w:r>
        <w:t>**Anticloud FZ LLE — PAX L5 Narrow L2 General 27B**</w:t>
      </w:r>
    </w:p>
    <w:p>
      <w:r>
        <w:t>Run: 2026-10-02T10:02:14.292434Z | Framework ID: 02_SOC2_TypeII</w:t>
      </w:r>
    </w:p>
    <w:p>
      <w:pPr>
        <w:pStyle w:val="Heading2"/>
      </w:pPr>
      <w:r>
        <w:t>Standard</w:t>
      </w:r>
    </w:p>
    <w:p>
      <w:r>
        <w:t>AICPA Trust Services Criteria 2017 + 2023 AI supplement</w:t>
      </w:r>
    </w:p>
    <w:p>
      <w:pPr>
        <w:pStyle w:val="Heading2"/>
      </w:pPr>
      <w:r>
        <w:t>Result</w:t>
      </w:r>
    </w:p>
    <w:p>
      <w:r>
        <w:t>PASS — CC6 (Logical Access), CC7 (System Ops), CC8 (Change Mgmt), A1 (Availability), C1 (Confidentiality)</w:t>
      </w:r>
    </w:p>
    <w:p>
      <w:pPr>
        <w:pStyle w:val="Heading2"/>
      </w:pPr>
      <w:r>
        <w:t>Score</w:t>
      </w:r>
    </w:p>
    <w:p>
      <w:r>
        <w:t>93% criteria met</w:t>
      </w:r>
    </w:p>
    <w:p>
      <w:pPr>
        <w:pStyle w:val="Heading2"/>
      </w:pPr>
      <w:r>
        <w:t>Notes</w:t>
      </w:r>
    </w:p>
    <w:p>
      <w:r>
        <w:t>SovereignMemory AES-256-GCM satisfies CC6.7; Provenance chain satisfies CC7.2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73cad8713f44a4498a4c72cc24375239d0bb655b860a364b047b3e6594b4d15b |</w:t>
      </w:r>
    </w:p>
    <w:p>
      <w:r>
        <w:t>| SHA3-256 (chain) | f25f13cca4052c3718ce371092fc88d389d5453116608dc785cc6d6fb9c3d84e |</w:t>
      </w:r>
    </w:p>
    <w:p>
      <w:r>
        <w:t>| Timestamp UTC | 2026-10-02T10:02:14.292434Z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