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20 COBIT 2019</w:t>
      </w:r>
    </w:p>
    <w:p>
      <w:pPr>
        <w:pStyle w:val="Heading1"/>
      </w:pPr>
      <w:r>
        <w:t>COBIT 2019 (Control Objectives for IT)</w:t>
      </w:r>
    </w:p>
    <w:p>
      <w:r>
        <w:t>**Anticloud FZ LLE — PAX L5 Narrow L2 General 27B**</w:t>
      </w:r>
    </w:p>
    <w:p>
      <w:r>
        <w:t>Run: 2026-10-02T10:02:17.496323Z | Framework ID: 20_COBIT_2019</w:t>
      </w:r>
    </w:p>
    <w:p>
      <w:pPr>
        <w:pStyle w:val="Heading2"/>
      </w:pPr>
      <w:r>
        <w:t>Standard</w:t>
      </w:r>
    </w:p>
    <w:p>
      <w:r>
        <w:t>COBIT 2019 Framework (ISACA)</w:t>
      </w:r>
    </w:p>
    <w:p>
      <w:pPr>
        <w:pStyle w:val="Heading2"/>
      </w:pPr>
      <w:r>
        <w:t>Result</w:t>
      </w:r>
    </w:p>
    <w:p>
      <w:r>
        <w:t>PASS — EDM (Governance), APO (Alignment), BAI (Build), DSS (Deliver), MEA (Monitor)</w:t>
      </w:r>
    </w:p>
    <w:p>
      <w:pPr>
        <w:pStyle w:val="Heading2"/>
      </w:pPr>
      <w:r>
        <w:t>Score</w:t>
      </w:r>
    </w:p>
    <w:p>
      <w:r>
        <w:t>Maturity Level 4 (Quantitatively Managed)</w:t>
      </w:r>
    </w:p>
    <w:p>
      <w:pPr>
        <w:pStyle w:val="Heading2"/>
      </w:pPr>
      <w:r>
        <w:t>Notes</w:t>
      </w:r>
    </w:p>
    <w:p>
      <w:r>
        <w:t>Observability module provides MEA01 monitoring; Provenance chain provides MEA02 assurance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a1ecec5f7dcf165d2117efe9e588889952e14e13d4fa4e51c7a3076f9f8c4884 |</w:t>
      </w:r>
    </w:p>
    <w:p>
      <w:r>
        <w:t>| SHA3-256 (chain) | 79526552db492e6cc63ba4fda5e90d92ae5aa36c90090b86995290db1987607c |</w:t>
      </w:r>
    </w:p>
    <w:p>
      <w:r>
        <w:t>| Timestamp UTC | 2026-10-02T10:02:17.496323Z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