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03 SOC1 TypeII</w:t>
      </w:r>
    </w:p>
    <w:p>
      <w:pPr>
        <w:pStyle w:val="Heading1"/>
      </w:pPr>
      <w:r>
        <w:t>SOC 1 Type II (SSAE 18)</w:t>
      </w:r>
    </w:p>
    <w:p>
      <w:r>
        <w:t>**Anticloud FZ LLE — PAX L5 Narrow L2 General 27B**</w:t>
      </w:r>
    </w:p>
    <w:p>
      <w:r>
        <w:t>Run: 2026-10-02T09:32:00.471951Z | Framework ID: 03_SOC1_TypeII</w:t>
      </w:r>
    </w:p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d885343cfa1e6bb1f8746591ef76ae97903bb2897d0801f5a7df670f04e0662d |</w:t>
      </w:r>
    </w:p>
    <w:p>
      <w:r>
        <w:t>| SHA3-256 (chain) | 7fac2582d0793fdc475c6807276395687fc095c6890969c4ed612172592e37ef |</w:t>
      </w:r>
    </w:p>
    <w:p>
      <w:r>
        <w:t>| Timestamp UTC | 2026-10-02T09:32:00.471951Z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