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17 TISAX</w:t>
      </w:r>
    </w:p>
    <w:p>
      <w:pPr>
        <w:pStyle w:val="Heading1"/>
      </w:pPr>
      <w:r>
        <w:t>TISAX (Trusted Information Security Assessment Exchange) AL2</w:t>
      </w:r>
    </w:p>
    <w:p>
      <w:r>
        <w:t>**Anticloud FZ LLE — PAX L5 Narrow L2 General 27B**</w:t>
      </w:r>
    </w:p>
    <w:p>
      <w:r>
        <w:t>Run: 2026-10-02T10:12:24.668647Z | Framework ID: 17_TISAX</w:t>
      </w:r>
    </w:p>
    <w:p>
      <w:pPr>
        <w:pStyle w:val="Heading2"/>
      </w:pPr>
      <w:r>
        <w:t>Standard</w:t>
      </w:r>
    </w:p>
    <w:p>
      <w:r>
        <w:t>VDA ISA 6.0.2 (2023), ENX TISAX AL2</w:t>
      </w:r>
    </w:p>
    <w:p>
      <w:pPr>
        <w:pStyle w:val="Heading2"/>
      </w:pPr>
      <w:r>
        <w:t>Result</w:t>
      </w:r>
    </w:p>
    <w:p>
      <w:r>
        <w:t>PASS — Information security, prototype protection, data protection at AL2</w:t>
      </w:r>
    </w:p>
    <w:p>
      <w:pPr>
        <w:pStyle w:val="Heading2"/>
      </w:pPr>
      <w:r>
        <w:t>Score</w:t>
      </w:r>
    </w:p>
    <w:p>
      <w:r>
        <w:t>AL2: COMPLIANT</w:t>
      </w:r>
    </w:p>
    <w:p>
      <w:pPr>
        <w:pStyle w:val="Heading2"/>
      </w:pPr>
      <w:r>
        <w:t>Notes</w:t>
      </w:r>
    </w:p>
    <w:p>
      <w:r>
        <w:t>Relevant for automotive supply chain use cases; AES-256-GCM and Zero Trust cover core controls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fb37b916f1c317c6bd48a882887182d36c4de5ac973a102bb28df61ac0e1c29a |</w:t>
      </w:r>
    </w:p>
    <w:p>
      <w:r>
        <w:t>| SHA3-256 (chain) | 3a4921a4bc7f5f5f03a2d3223df45aea012ce9e867017a4b71a357fb97c33ef3 |</w:t>
      </w:r>
    </w:p>
    <w:p>
      <w:r>
        <w:t>| Timestamp UTC | 2026-10-02T10:12:24.668647Z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