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22 SSDF</w:t>
      </w:r>
    </w:p>
    <w:p>
      <w:pPr>
        <w:pStyle w:val="Heading1"/>
      </w:pPr>
      <w:r>
        <w:t>SSDF (NIST Secure Software Development Framework) SP 800-218</w:t>
      </w:r>
    </w:p>
    <w:p>
      <w:r>
        <w:t>**Anticloud FZ LLE — PAX L5 Narrow L2 General 27B**</w:t>
      </w:r>
    </w:p>
    <w:p>
      <w:r>
        <w:t>Run: 2026-10-02T10:12:20.027339Z | Framework ID: 22_SSDF</w:t>
      </w:r>
    </w:p>
    <w:p>
      <w:pPr>
        <w:pStyle w:val="Heading2"/>
      </w:pPr>
      <w:r>
        <w:t>Standard</w:t>
      </w:r>
    </w:p>
    <w:p>
      <w:r>
        <w:t>NIST SP 800-218 v1.1 (2022)</w:t>
      </w:r>
    </w:p>
    <w:p>
      <w:pPr>
        <w:pStyle w:val="Heading2"/>
      </w:pPr>
      <w:r>
        <w:t>Result</w:t>
      </w:r>
    </w:p>
    <w:p>
      <w:r>
        <w:t>PASS — PO (Prepare), PS (Protect), PW (Produce), RV (Respond) practices all addressed</w:t>
      </w:r>
    </w:p>
    <w:p>
      <w:pPr>
        <w:pStyle w:val="Heading2"/>
      </w:pPr>
      <w:r>
        <w:t>Score</w:t>
      </w:r>
    </w:p>
    <w:p>
      <w:r>
        <w:t>COMPLIANT</w:t>
      </w:r>
    </w:p>
    <w:p>
      <w:pPr>
        <w:pStyle w:val="Heading2"/>
      </w:pPr>
      <w:r>
        <w:t>Notes</w:t>
      </w:r>
    </w:p>
    <w:p>
      <w:r>
        <w:t>Provenance chain covers PS.1 (protect all forms of code); CRDT determinism covers PW.8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8c6a966e5bbb8492b2cdfc042f90c7dec6344b4ef526b27da4e586e0c6a55649 |</w:t>
      </w:r>
    </w:p>
    <w:p>
      <w:r>
        <w:t>| SHA3-256 (chain) | 224c20f1a7e1973c49a25873b351d932fd30b67709cfdb81b5cb4a4218b5176d |</w:t>
      </w:r>
    </w:p>
    <w:p>
      <w:r>
        <w:t>| Timestamp UTC | 2026-10-02T10:12:20.027339Z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