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18 DORA</w:t>
      </w:r>
    </w:p>
    <w:p>
      <w:pPr>
        <w:pStyle w:val="Heading1"/>
      </w:pPr>
      <w:r>
        <w:t>DORA (EU Digital Operational Resilience Act) 2022/2554</w:t>
      </w:r>
    </w:p>
    <w:p>
      <w:r>
        <w:t>**Anticloud FZ LLE — PAX L5 Narrow L2 General 27B**</w:t>
      </w:r>
    </w:p>
    <w:p>
      <w:r>
        <w:t>Run: 2026-10-02T09:46:24.519740Z | Framework ID: 18_DORA</w:t>
      </w:r>
    </w:p>
    <w:p>
      <w:pPr>
        <w:pStyle w:val="Heading2"/>
      </w:pPr>
      <w:r>
        <w:t>Standard</w:t>
      </w:r>
    </w:p>
    <w:p>
      <w:r>
        <w:t>DORA Regulation (EU) 2022/2554, RTS (2024)</w:t>
      </w:r>
    </w:p>
    <w:p>
      <w:pPr>
        <w:pStyle w:val="Heading2"/>
      </w:pPr>
      <w:r>
        <w:t>Result</w:t>
      </w:r>
    </w:p>
    <w:p>
      <w:r>
        <w:t>PASS — Art. 9 (ICT Security), Art. 10 (Detection), Art. 11 (Recovery), Art. 12 (Backup)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CRDT convergence satisfies Art. 12 recovery; Observability satisfies Art. 10 detection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11e0f438bc3381c061d3d029bc3552f3c1b2901509fd611d6501cd620872269b |</w:t>
      </w:r>
    </w:p>
    <w:p>
      <w:r>
        <w:t>| SHA3-256 (chain) | c359bed54b7108d33877c9d7b99d8c4c5b4d368617605e9fd6cd6493a43a38fa |</w:t>
      </w:r>
    </w:p>
    <w:p>
      <w:r>
        <w:t>| Timestamp UTC | 2026-10-02T09:46:24.519740Z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