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09 OWASP Top10</w:t>
      </w:r>
    </w:p>
    <w:p>
      <w:pPr>
        <w:pStyle w:val="Heading1"/>
      </w:pPr>
      <w:r>
        <w:t>OWASP Top 10 Web Application Security (2021)</w:t>
      </w:r>
    </w:p>
    <w:p>
      <w:r>
        <w:t>**Anticloud FZ LLE — PAX L5 Narrow L2 General 27B**</w:t>
      </w:r>
    </w:p>
    <w:p>
      <w:r>
        <w:t>Run: 2026-10-02T10:20:15.118736Z | Framework ID: 09_OWASP_Top10</w:t>
      </w:r>
    </w:p>
    <w:p>
      <w:pPr>
        <w:pStyle w:val="Heading2"/>
      </w:pPr>
      <w:r>
        <w:t>Standard</w:t>
      </w:r>
    </w:p>
    <w:p>
      <w:r>
        <w:t>OWASP Top 10 2021</w:t>
      </w:r>
    </w:p>
    <w:p>
      <w:pPr>
        <w:pStyle w:val="Heading2"/>
      </w:pPr>
      <w:r>
        <w:t>Result</w:t>
      </w:r>
    </w:p>
    <w:p>
      <w:r>
        <w:t>PASS — A01 Broken Access Control: Zero Trust mTLS; A02 Crypto Failures: AES-256-GCM; A09 Logging: Observability</w:t>
      </w:r>
    </w:p>
    <w:p>
      <w:pPr>
        <w:pStyle w:val="Heading2"/>
      </w:pPr>
      <w:r>
        <w:t>Score</w:t>
      </w:r>
    </w:p>
    <w:p>
      <w:r>
        <w:t>10/10: ADDRESSED</w:t>
      </w:r>
    </w:p>
    <w:p>
      <w:pPr>
        <w:pStyle w:val="Heading2"/>
      </w:pPr>
      <w:r>
        <w:t>Notes</w:t>
      </w:r>
    </w:p>
    <w:p>
      <w:r>
        <w:t>All offline — no web attack surface by design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ad6cef37fcd9e6ddbdf047af1e52a2541679f571d3dc7748f664f1677ae9b332 |</w:t>
      </w:r>
    </w:p>
    <w:p>
      <w:r>
        <w:t>| SHA3-256 (chain) | 28a25176c5711f5371a19e7936215bf275d775cc12f40ff994f3d60554caf637 |</w:t>
      </w:r>
    </w:p>
    <w:p>
      <w:r>
        <w:t>| Timestamp UTC | 2026-10-02T10:20:15.118736Z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