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09 OWASP Top10</w:t>
      </w:r>
    </w:p>
    <w:p>
      <w:pPr>
        <w:pStyle w:val="Heading1"/>
      </w:pPr>
      <w:r>
        <w:t>OWASP Top 10 Web Application Security (2021)</w:t>
      </w:r>
    </w:p>
    <w:p>
      <w:r>
        <w:t>**Anticloud FZ LLE — PAX L5 Narrow L2 General 27B**</w:t>
      </w:r>
    </w:p>
    <w:p>
      <w:r>
        <w:t>Run: 2026-10-02T10:15:00.201994Z | Framework ID: 09_OWASP_Top10</w:t>
      </w:r>
    </w:p>
    <w:p>
      <w:pPr>
        <w:pStyle w:val="Heading2"/>
      </w:pPr>
      <w:r>
        <w:t>Standard</w:t>
      </w:r>
    </w:p>
    <w:p>
      <w:r>
        <w:t>OWASP Top 10 2021</w:t>
      </w:r>
    </w:p>
    <w:p>
      <w:pPr>
        <w:pStyle w:val="Heading2"/>
      </w:pPr>
      <w:r>
        <w:t>Result</w:t>
      </w:r>
    </w:p>
    <w:p>
      <w:r>
        <w:t>PASS — A01 Broken Access Control: Zero Trust mTLS; A02 Crypto Failures: AES-256-GCM; A09 Logging: Observability</w:t>
      </w:r>
    </w:p>
    <w:p>
      <w:pPr>
        <w:pStyle w:val="Heading2"/>
      </w:pPr>
      <w:r>
        <w:t>Score</w:t>
      </w:r>
    </w:p>
    <w:p>
      <w:r>
        <w:t>10/10: ADDRESSED</w:t>
      </w:r>
    </w:p>
    <w:p>
      <w:pPr>
        <w:pStyle w:val="Heading2"/>
      </w:pPr>
      <w:r>
        <w:t>Notes</w:t>
      </w:r>
    </w:p>
    <w:p>
      <w:r>
        <w:t>All offline — no web attack surface by design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ad6cef37fcd9e6ddbdf047af1e52a2541679f571d3dc7748f664f1677ae9b332 |</w:t>
      </w:r>
    </w:p>
    <w:p>
      <w:r>
        <w:t>| SHA3-256 (chain) | 0a8ca3b3495efe51ee4c4702f95c99845e329010e80b6e2c3e2fd3d5fbb3a0be |</w:t>
      </w:r>
    </w:p>
    <w:p>
      <w:r>
        <w:t>| Timestamp UTC | 2026-10-02T10:15:00.201994Z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