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10 HIPAA</w:t>
      </w:r>
    </w:p>
    <w:p>
      <w:pPr>
        <w:pStyle w:val="Heading1"/>
      </w:pPr>
      <w:r>
        <w:t>HIPAA Security Rule (45 CFR Part 164)</w:t>
      </w:r>
    </w:p>
    <w:p>
      <w:r>
        <w:t>**Anticloud FZ LLE — PAX L5 Narrow L2 General 27B**</w:t>
      </w:r>
    </w:p>
    <w:p>
      <w:r>
        <w:t>Run: 2026-10-02T10:15:00.533401Z | Framework ID: 10_HIPAA</w:t>
      </w:r>
    </w:p>
    <w:p>
      <w:pPr>
        <w:pStyle w:val="Heading2"/>
      </w:pPr>
      <w:r>
        <w:t>Standard</w:t>
      </w:r>
    </w:p>
    <w:p>
      <w:r>
        <w:t>HIPAA Security Rule, HHS 2013/2024 update</w:t>
      </w:r>
    </w:p>
    <w:p>
      <w:pPr>
        <w:pStyle w:val="Heading2"/>
      </w:pPr>
      <w:r>
        <w:t>Result</w:t>
      </w:r>
    </w:p>
    <w:p>
      <w:r>
        <w:t>PASS — §164.312(a)(1) Access Control, §164.312(e)(2)(ii) Encryption, §164.312(b) Audit Controls</w:t>
      </w:r>
    </w:p>
    <w:p>
      <w:pPr>
        <w:pStyle w:val="Heading2"/>
      </w:pPr>
      <w:r>
        <w:t>Score</w:t>
      </w:r>
    </w:p>
    <w:p>
      <w:r>
        <w:t>COMPLIANT — all 18 required + addressable standards met</w:t>
      </w:r>
    </w:p>
    <w:p>
      <w:pPr>
        <w:pStyle w:val="Heading2"/>
      </w:pPr>
      <w:r>
        <w:t>Notes</w:t>
      </w:r>
    </w:p>
    <w:p>
      <w:r>
        <w:t>AES-256-GCM satisfies §164.312(e)(2)(ii); AIOSS chain satisfies §164.312(b)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b3b877b8ec74e702d6ce466a2a88e7ea5c31db481a4abb56567ad42dd2baee80 |</w:t>
      </w:r>
    </w:p>
    <w:p>
      <w:r>
        <w:t>| SHA3-256 (chain) | 91322d72c08bab1489ef89d0453f79c0ae8b84048b39c1f7678d90f1f178571c |</w:t>
      </w:r>
    </w:p>
    <w:p>
      <w:r>
        <w:t>| Timestamp UTC | 2026-10-02T10:15:00.533401Z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