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02 SOC2 TypeII</w:t>
      </w:r>
    </w:p>
    <w:p>
      <w:pPr>
        <w:pStyle w:val="Heading1"/>
      </w:pPr>
      <w:r>
        <w:t>SOC 2 Type II (AICPA TSC 2017)</w:t>
      </w:r>
    </w:p>
    <w:p>
      <w:r>
        <w:t>**Anticloud FZ LLE — PAX L5 Narrow L2 General 27B**</w:t>
      </w:r>
    </w:p>
    <w:p>
      <w:r>
        <w:t>Run: 2026-10-02T10:30:29.167711Z | Framework ID: 02_SOC2_TypeII</w:t>
      </w:r>
    </w:p>
    <w:p>
      <w:pPr>
        <w:pStyle w:val="Heading2"/>
      </w:pPr>
      <w:r>
        <w:t>Standard</w:t>
      </w:r>
    </w:p>
    <w:p>
      <w:r>
        <w:t>AICPA Trust Services Criteria 2017 + 2023 AI supplement</w:t>
      </w:r>
    </w:p>
    <w:p>
      <w:pPr>
        <w:pStyle w:val="Heading2"/>
      </w:pPr>
      <w:r>
        <w:t>Result</w:t>
      </w:r>
    </w:p>
    <w:p>
      <w:r>
        <w:t>PASS — CC6 (Logical Access), CC7 (System Ops), CC8 (Change Mgmt), A1 (Availability), C1 (Confidentiality)</w:t>
      </w:r>
    </w:p>
    <w:p>
      <w:pPr>
        <w:pStyle w:val="Heading2"/>
      </w:pPr>
      <w:r>
        <w:t>Score</w:t>
      </w:r>
    </w:p>
    <w:p>
      <w:r>
        <w:t>93% criteria met</w:t>
      </w:r>
    </w:p>
    <w:p>
      <w:pPr>
        <w:pStyle w:val="Heading2"/>
      </w:pPr>
      <w:r>
        <w:t>Notes</w:t>
      </w:r>
    </w:p>
    <w:p>
      <w:r>
        <w:t>SovereignMemory AES-256-GCM satisfies CC6.7; Provenance chain satisfies CC7.2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73cad8713f44a4498a4c72cc24375239d0bb655b860a364b047b3e6594b4d15b |</w:t>
      </w:r>
    </w:p>
    <w:p>
      <w:r>
        <w:t>| SHA3-256 (chain) | 7933e4351f604af4d2c44df93afca3fdb1f75435d1c48a792fbca669c4dd2032 |</w:t>
      </w:r>
    </w:p>
    <w:p>
      <w:r>
        <w:t>| Timestamp UTC | 2026-10-02T10:30:29.167711Z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