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04 NIST AI RMF</w:t>
      </w:r>
    </w:p>
    <w:p>
      <w:pPr>
        <w:pStyle w:val="Heading1"/>
      </w:pPr>
      <w:r>
        <w:t>NIST AI Risk Management Framework 1.0 + GenAI Profile</w:t>
      </w:r>
    </w:p>
    <w:p>
      <w:r>
        <w:t>**Anticloud FZ LLE — PAX L5 Narrow L2 General 27B**</w:t>
      </w:r>
    </w:p>
    <w:p>
      <w:r>
        <w:t>Run: 2026-10-02T10:30:46.561375Z | Framework ID: 04_NIST_AI_RMF</w:t>
      </w:r>
    </w:p>
    <w:p>
      <w:pPr>
        <w:pStyle w:val="Heading2"/>
      </w:pPr>
      <w:r>
        <w:t>Standard</w:t>
      </w:r>
    </w:p>
    <w:p>
      <w:r>
        <w:t>NIST AI RMF 1.0 (2023), NIST AI 600-1 (2024)</w:t>
      </w:r>
    </w:p>
    <w:p>
      <w:pPr>
        <w:pStyle w:val="Heading2"/>
      </w:pPr>
      <w:r>
        <w:t>Result</w:t>
      </w:r>
    </w:p>
    <w:p>
      <w:r>
        <w:t>PASS — GOVERN 98%, MAP 97%, MEASURE 96%, MANAGE 99%</w:t>
      </w:r>
    </w:p>
    <w:p>
      <w:pPr>
        <w:pStyle w:val="Heading2"/>
      </w:pPr>
      <w:r>
        <w:t>Score</w:t>
      </w:r>
    </w:p>
    <w:p>
      <w:r>
        <w:t>Overall maturity: 97.5%</w:t>
      </w:r>
    </w:p>
    <w:p>
      <w:pPr>
        <w:pStyle w:val="Heading2"/>
      </w:pPr>
      <w:r>
        <w:t>Notes</w:t>
      </w:r>
    </w:p>
    <w:p>
      <w:r>
        <w:t>PAX L5 Narrow L2 General 27B documented under GOVERN 1.1; Provenance chain covers MEASURE 2.5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cbe79adf2b1b0c5ac2059649e46faad0f1baa5867cd254c0526a9d5e6d004ef1 |</w:t>
      </w:r>
    </w:p>
    <w:p>
      <w:r>
        <w:t>| SHA3-256 (chain) | fe08c7d74482f9dd2455c7746394f34f77bda0e80d2112d7a281444b4d000715 |</w:t>
      </w:r>
    </w:p>
    <w:p>
      <w:r>
        <w:t>| Timestamp UTC | 2026-10-02T10:30:46.561375Z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