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24 MITRE ATTCK</w:t>
      </w:r>
    </w:p>
    <w:p>
      <w:pPr>
        <w:pStyle w:val="Heading1"/>
      </w:pPr>
      <w:r>
        <w:t>MITRE ATT&amp;CK v15 + MITRE ATLAS (AI Threats)</w:t>
      </w:r>
    </w:p>
    <w:p>
      <w:r>
        <w:t>**Anticloud FZ LLE — PAX L5 Narrow L2 General 27B**</w:t>
      </w:r>
    </w:p>
    <w:p>
      <w:r>
        <w:t>Run: 2026-10-02T10:30:58.079606Z | Framework ID: 24_MITRE_ATTCK</w:t>
      </w:r>
    </w:p>
    <w:p>
      <w:pPr>
        <w:pStyle w:val="Heading2"/>
      </w:pPr>
      <w:r>
        <w:t>Standard</w:t>
      </w:r>
    </w:p>
    <w:p>
      <w:r>
        <w:t>MITRE ATT&amp;CK Enterprise v15 (2024), MITRE ATLAS v4.5</w:t>
      </w:r>
    </w:p>
    <w:p>
      <w:pPr>
        <w:pStyle w:val="Heading2"/>
      </w:pPr>
      <w:r>
        <w:t>Result</w:t>
      </w:r>
    </w:p>
    <w:p>
      <w:r>
        <w:t>PASS — T1190 (Public-Facing App): N/A (air-gapped); T1003 (Credential Dump): mitigated by Zero Trust; AML.T0043 (Prompt Injection): mitigated</w:t>
      </w:r>
    </w:p>
    <w:p>
      <w:pPr>
        <w:pStyle w:val="Heading2"/>
      </w:pPr>
      <w:r>
        <w:t>Score</w:t>
      </w:r>
    </w:p>
    <w:p>
      <w:r>
        <w:t>DQI: 99/100, PQI: 99/100, IQI: 98/100</w:t>
      </w:r>
    </w:p>
    <w:p>
      <w:pPr>
        <w:pStyle w:val="Heading2"/>
      </w:pPr>
      <w:r>
        <w:t>Notes</w:t>
      </w:r>
    </w:p>
    <w:p>
      <w:r>
        <w:t>Zero Trust mTLS prevents lateral movement; Observability detects anomalous span patterns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778a7998c450c7145ecb577a64d36b805b4e023faafe2f6587957d9d61cdcfdb |</w:t>
      </w:r>
    </w:p>
    <w:p>
      <w:r>
        <w:t>| SHA3-256 (chain) | 3dd5d65d16eba6701c30b261f88110e077fb98ae7fc4a98bdda3c45d3a50eb9d |</w:t>
      </w:r>
    </w:p>
    <w:p>
      <w:r>
        <w:t>| Timestamp UTC | 2026-10-02T10:30:58.079606Z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