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Environment</w:t>
      </w:r>
    </w:p>
    <w:p>
      <w:pPr>
        <w:pStyle w:val="Heading1"/>
      </w:pPr>
      <w:r>
        <w:t>Commitment to Environment — GRAPHEIN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GRAPHEIN | Category: MEDICINE_DEVELOPMENT</w:t>
      </w:r>
    </w:p>
    <w:p>
      <w:r>
        <w:rPr>
          <w:sz w:val="22"/>
        </w:rPr>
        <w:t>Upstream: https://github.com/microsoft/graphein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environment for the Anticloud integration of GRAPHEIN.</w:t>
      </w:r>
    </w:p>
    <w:p/>
    <w:p>
      <w:r>
        <w:rPr>
          <w:sz w:val="22"/>
        </w:rPr>
        <w:t>Protein graph library for drug discovery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GRAPHEIN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