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Intellectual Property And Rights</w:t>
      </w:r>
    </w:p>
    <w:p>
      <w:pPr>
        <w:pStyle w:val="Heading1"/>
      </w:pPr>
      <w:r>
        <w:t>Intellectual Property and Rights — GRAPHEIN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GRAPHEIN | Category: MEDICINE_DEVELOPMENT</w:t>
      </w:r>
    </w:p>
    <w:p>
      <w:r>
        <w:rPr>
          <w:sz w:val="22"/>
        </w:rPr>
        <w:t>Upstream: https://github.com/microsoft/graphein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intellectual property and rights for the Anticloud integration of GRAPHEIN.</w:t>
      </w:r>
    </w:p>
    <w:p/>
    <w:p>
      <w:r>
        <w:rPr>
          <w:sz w:val="22"/>
        </w:rPr>
        <w:t>Protein graph library for drug discovery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GRAPHEIN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