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15 GDPR</w:t>
      </w:r>
    </w:p>
    <w:p>
      <w:pPr>
        <w:pStyle w:val="Heading1"/>
      </w:pPr>
      <w:r>
        <w:t>GDPR (EU) 2016/679 + EDPB Guidelines</w:t>
      </w:r>
    </w:p>
    <w:p>
      <w:r>
        <w:t>**Anticloud FZ LLE — PAX L5 Narrow L2 General 27B**</w:t>
      </w:r>
    </w:p>
    <w:p>
      <w:r>
        <w:t>Run: 2026-10-02T10:40:43.345588Z | Framework ID: 15_GDPR</w:t>
      </w:r>
    </w:p>
    <w:p>
      <w:pPr>
        <w:pStyle w:val="Heading2"/>
      </w:pPr>
      <w:r>
        <w:t>Standard</w:t>
      </w:r>
    </w:p>
    <w:p>
      <w:r>
        <w:t>GDPR Art. 25 (Privacy by Design), Art. 32 (Security), Art. 35 (DPIA)</w:t>
      </w:r>
    </w:p>
    <w:p>
      <w:pPr>
        <w:pStyle w:val="Heading2"/>
      </w:pPr>
      <w:r>
        <w:t>Result</w:t>
      </w:r>
    </w:p>
    <w:p>
      <w:r>
        <w:t>PASS — Privacy by Design: all data stays local; Art. 32: AES-256-GCM; Art. 17 (Right to Erasure): forget() implemented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SovereignMemory.forget() implements Art. 17; zero cloud egress satisfies Art. 44 (transfer restrictions)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843f35e34773c4e8f239a5c18b004a8c4c7b16b827d0c27488d4c51b8847a84d |</w:t>
      </w:r>
    </w:p>
    <w:p>
      <w:r>
        <w:t>| SHA3-256 (chain) | c752adfdf566d7b11b2b47a9c2ac39ec9e7c7c59401e5758923616cebfd02b2f |</w:t>
      </w:r>
    </w:p>
    <w:p>
      <w:r>
        <w:t>| Timestamp UTC | 2026-10-02T10:40:43.345588Z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