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07 ISO 27001</w:t>
      </w:r>
    </w:p>
    <w:p>
      <w:pPr>
        <w:pStyle w:val="Heading1"/>
      </w:pPr>
      <w:r>
        <w:t>ISO/IEC 27001:2022 + ISO/IEC 42001:2023 (AI ISMS)</w:t>
      </w:r>
    </w:p>
    <w:p>
      <w:r>
        <w:t>**Anticloud FZ LLE — PAX L5 Narrow L2 General 27B**</w:t>
      </w:r>
    </w:p>
    <w:p>
      <w:r>
        <w:t>Run: 2026-10-02T09:55:42.421556Z | Framework ID: 07_ISO_27001</w:t>
      </w:r>
    </w:p>
    <w:p>
      <w:pPr>
        <w:pStyle w:val="Heading2"/>
      </w:pPr>
      <w:r>
        <w:t>Standard</w:t>
      </w:r>
    </w:p>
    <w:p>
      <w:r>
        <w:t>ISO/IEC 27001:2022, ISO/IEC 42001:2023</w:t>
      </w:r>
    </w:p>
    <w:p>
      <w:pPr>
        <w:pStyle w:val="Heading2"/>
      </w:pPr>
      <w:r>
        <w:t>Result</w:t>
      </w:r>
    </w:p>
    <w:p>
      <w:r>
        <w:t>PASS — Annex A: A.5 (Policies), A.8 (Asset Mgmt), A.9 (Access Control), A.10 (Crypto), A.12 (Ops), A.14 (Dev)</w:t>
      </w:r>
    </w:p>
    <w:p>
      <w:pPr>
        <w:pStyle w:val="Heading2"/>
      </w:pPr>
      <w:r>
        <w:t>Score</w:t>
      </w:r>
    </w:p>
    <w:p>
      <w:r>
        <w:t>93 controls: CONFORMANT</w:t>
      </w:r>
    </w:p>
    <w:p>
      <w:pPr>
        <w:pStyle w:val="Heading2"/>
      </w:pPr>
      <w:r>
        <w:t>Notes</w:t>
      </w:r>
    </w:p>
    <w:p>
      <w:r>
        <w:t>AES-256-GCM + scrypt (SovereignMemory) satisfies A.10.1; AIOSS chain satisfies A.12.4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89f0a7de245489546c633d9712fbd849db16a3e3b1e8bc774edd2784a9cdd525 |</w:t>
      </w:r>
    </w:p>
    <w:p>
      <w:r>
        <w:t>| SHA3-256 (chain) | 95cd4f305d249a1e57d515f529e3f61d466ecce8c2f3a6189fb934d96f0a62c6 |</w:t>
      </w:r>
    </w:p>
    <w:p>
      <w:r>
        <w:t>| Timestamp UTC | 2026-10-02T09:55:42.421556Z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