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01 FedRAMP</w:t>
      </w:r>
    </w:p>
    <w:p>
      <w:pPr>
        <w:pStyle w:val="Heading1"/>
      </w:pPr>
      <w:r>
        <w:t>FedRAMP Rev5 (High Impact)</w:t>
      </w:r>
    </w:p>
    <w:p>
      <w:r>
        <w:t>**Anticloud FZ LLE — PAX L5 Narrow L2 General 27B**</w:t>
      </w:r>
    </w:p>
    <w:p>
      <w:r>
        <w:t>Run: 2026-10-02T09:39:31.198363Z | Framework ID: 01_FedRAMP</w:t>
      </w:r>
    </w:p>
    <w:p>
      <w:pPr>
        <w:pStyle w:val="Heading2"/>
      </w:pPr>
      <w:r>
        <w:t>Standard</w:t>
      </w:r>
    </w:p>
    <w:p>
      <w:r>
        <w:t>FedRAMP Authorization Act (2022), NIST SP 800-53 Rev5</w:t>
      </w:r>
    </w:p>
    <w:p>
      <w:pPr>
        <w:pStyle w:val="Heading2"/>
      </w:pPr>
      <w:r>
        <w:t>Result</w:t>
      </w:r>
    </w:p>
    <w:p>
      <w:r>
        <w:t>PASS — all 6 Anticloud modules satisfy AC, AU, CA, CM, IA, SC, SI control families</w:t>
      </w:r>
    </w:p>
    <w:p>
      <w:pPr>
        <w:pStyle w:val="Heading2"/>
      </w:pPr>
      <w:r>
        <w:t>Score</w:t>
      </w:r>
    </w:p>
    <w:p>
      <w:r>
        <w:t>High Impact — 421 controls addressed</w:t>
      </w:r>
    </w:p>
    <w:p>
      <w:pPr>
        <w:pStyle w:val="Heading2"/>
      </w:pPr>
      <w:r>
        <w:t>Notes</w:t>
      </w:r>
    </w:p>
    <w:p>
      <w:r>
        <w:t>CRDT convergence + Provenance chain + Zero Trust mTLS satisfy AC-3, AU-9, SC-8, SC-28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5e4840d5ffc65b380969bb8c8c87ec3cf3b31b64052cc7e5886ecc184cab217c |</w:t>
      </w:r>
    </w:p>
    <w:p>
      <w:r>
        <w:t>| SHA3-256 (chain) | cbbad2b44e8c1aa9595d167c04cfe2eef3cad19c9974f0eb6ea5ea5201233c97 |</w:t>
      </w:r>
    </w:p>
    <w:p>
      <w:r>
        <w:t>| Timestamp UTC | 2026-10-02T09:39:31.198363Z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