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13 FISMA</w:t>
      </w:r>
    </w:p>
    <w:p>
      <w:pPr>
        <w:pStyle w:val="Heading1"/>
      </w:pPr>
      <w:r>
        <w:t>FISMA 2014 (Federal Information Security Modernization Act)</w:t>
      </w:r>
    </w:p>
    <w:p>
      <w:r>
        <w:t>**Anticloud FZ LLE — PAX L5 Narrow L2 General 27B**</w:t>
      </w:r>
    </w:p>
    <w:p>
      <w:r>
        <w:t>Run: 2026-10-02T09:39:34.180005Z | Framework ID: 13_FISMA</w:t>
      </w:r>
    </w:p>
    <w:p>
      <w:pPr>
        <w:pStyle w:val="Heading2"/>
      </w:pPr>
      <w:r>
        <w:t>Standard</w:t>
      </w:r>
    </w:p>
    <w:p>
      <w:r>
        <w:t>FISMA 2014, OMB Circular A-130</w:t>
      </w:r>
    </w:p>
    <w:p>
      <w:pPr>
        <w:pStyle w:val="Heading2"/>
      </w:pPr>
      <w:r>
        <w:t>Result</w:t>
      </w:r>
    </w:p>
    <w:p>
      <w:r>
        <w:t>PASS — HIGH impact system; continuous monitoring via Observability module</w:t>
      </w:r>
    </w:p>
    <w:p>
      <w:pPr>
        <w:pStyle w:val="Heading2"/>
      </w:pPr>
      <w:r>
        <w:t>Score</w:t>
      </w:r>
    </w:p>
    <w:p>
      <w:r>
        <w:t>HIGH impact: AUTHORIZED</w:t>
      </w:r>
    </w:p>
    <w:p>
      <w:pPr>
        <w:pStyle w:val="Heading2"/>
      </w:pPr>
      <w:r>
        <w:t>Notes</w:t>
      </w:r>
    </w:p>
    <w:p>
      <w:r>
        <w:t>AIOSS append-only chain provides FISMA-compliant continuous monitoring evidence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7e6bc72ae3c53e077c06b6c47f807cbd7143b83cea805ab17e862db101fe38d7 |</w:t>
      </w:r>
    </w:p>
    <w:p>
      <w:r>
        <w:t>| SHA3-256 (chain) | a120c25783f33e6dcd7389ba793c12c85254fad75e05680015577013ae9f73a0 |</w:t>
      </w:r>
    </w:p>
    <w:p>
      <w:r>
        <w:t>| Timestamp UTC | 2026-10-02T09:39:34.180005Z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