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Investor Faq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Investor FAQ — HYPAR_ELEMENTS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HYPAR_ELEMENTS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https://github.com/hypar-io/hypar-elements (MIT)</w:t>
      </w:r>
    </w:p>
    <w:p>
      <w:pPr>
        <w:pStyle w:val="Heading2"/>
      </w:pPr>
      <w:r>
        <w:t>Overview</w:t>
      </w:r>
    </w:p>
    <w:p>
      <w:r>
        <w:t>This document covers investor faq for the Anticloud integration of HYPAR_ELEMENTS.</w:t>
      </w:r>
    </w:p>
    <w:p>
      <w:r>
        <w:t>Generative architecture framework</w:t>
      </w:r>
    </w:p>
    <w:p>
      <w:pPr>
        <w:pStyle w:val="Heading2"/>
      </w:pPr>
      <w:r>
        <w:t>Anticloud Integration</w:t>
      </w:r>
    </w:p>
    <w:p>
      <w:r>
        <w:t>PAX L5 Narrow L2 General 27B is integrated into HYPAR_ELEMENTS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