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IBEX</w:t>
      </w:r>
    </w:p>
    <w:p/>
    <w:p>
      <w:pPr>
        <w:pStyle w:val="Heading2"/>
      </w:pPr>
      <w:r>
        <w:t>Why Anticloud Wins in SEMICONDUCTOR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Apache 2.0 upstream + Anticommons additions — full source transparency</w:t>
      </w:r>
    </w:p>
    <w:p/>
    <w:p>
      <w:pPr>
        <w:pStyle w:val="Heading2"/>
      </w:pPr>
      <w:r>
        <w:t>Upstream: https://github.com/lowRISC/ibex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