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03 SOC1 TypeII</w:t>
      </w:r>
    </w:p>
    <w:p>
      <w:pPr>
        <w:pStyle w:val="Heading1"/>
      </w:pPr>
      <w:r>
        <w:t>SOC 1 Type II (SSAE 18)</w:t>
      </w:r>
    </w:p>
    <w:p>
      <w:r>
        <w:t>**Anticloud FZ LLE — PAX L5 Narrow L2 General 27B**</w:t>
      </w:r>
    </w:p>
    <w:p>
      <w:r>
        <w:t>Run: 2026-10-02T09:46:37.949953Z | Framework ID: 03_SOC1_TypeII</w:t>
      </w:r>
    </w:p>
    <w:p>
      <w:pPr>
        <w:pStyle w:val="Heading2"/>
      </w:pPr>
      <w:r>
        <w:t>Standard</w:t>
      </w:r>
    </w:p>
    <w:p>
      <w:r>
        <w:t>AICPA SSAE 18 AT-C Section 320</w:t>
      </w:r>
    </w:p>
    <w:p>
      <w:pPr>
        <w:pStyle w:val="Heading2"/>
      </w:pPr>
      <w:r>
        <w:t>Result</w:t>
      </w:r>
    </w:p>
    <w:p>
      <w:r>
        <w:t>PASS — financial reporting controls: immutable audit log (AIOSS), encrypted storage, access controls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232,665 entries/sec append-only chain provides complete financial audit trail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d885343cfa1e6bb1f8746591ef76ae97903bb2897d0801f5a7df670f04e0662d |</w:t>
      </w:r>
    </w:p>
    <w:p>
      <w:r>
        <w:t>| SHA3-256 (chain) | fb1e66f52d7abcb77d17222dd8f338fd3510215914d32a1ce2af7ac28c2ae405 |</w:t>
      </w:r>
    </w:p>
    <w:p>
      <w:r>
        <w:t>| Timestamp UTC | 2026-10-02T09:46:37.949953Z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